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1A" w:rsidRDefault="005C53FF" w:rsidP="00C728C1">
      <w:pPr>
        <w:rPr>
          <w:rFonts w:ascii="Georgia" w:hAnsi="Georgia"/>
          <w:b/>
          <w:color w:val="333333"/>
          <w:sz w:val="32"/>
          <w:szCs w:val="24"/>
        </w:rPr>
      </w:pPr>
      <w:r>
        <w:t xml:space="preserve"> </w:t>
      </w:r>
      <w:r w:rsidR="00C728C1" w:rsidRPr="00C728C1">
        <w:rPr>
          <w:rFonts w:ascii="Georgia" w:hAnsi="Georgia"/>
          <w:b/>
          <w:color w:val="333333"/>
          <w:sz w:val="24"/>
          <w:szCs w:val="24"/>
        </w:rPr>
        <w:tab/>
      </w:r>
      <w:r w:rsidR="00C728C1" w:rsidRPr="00C728C1">
        <w:rPr>
          <w:rFonts w:ascii="Georgia" w:hAnsi="Georgia"/>
          <w:b/>
          <w:color w:val="333333"/>
          <w:sz w:val="32"/>
          <w:szCs w:val="24"/>
        </w:rPr>
        <w:t xml:space="preserve"> </w:t>
      </w:r>
      <w:r w:rsidR="00E4361A">
        <w:rPr>
          <w:rFonts w:ascii="Georgia" w:hAnsi="Georgia"/>
          <w:b/>
          <w:color w:val="333333"/>
          <w:sz w:val="32"/>
          <w:szCs w:val="24"/>
        </w:rPr>
        <w:t xml:space="preserve">TMI-2 </w:t>
      </w:r>
      <w:r w:rsidR="00C728C1" w:rsidRPr="00BA368C">
        <w:rPr>
          <w:rFonts w:ascii="Georgia" w:hAnsi="Georgia"/>
          <w:b/>
          <w:color w:val="333333"/>
          <w:sz w:val="32"/>
          <w:szCs w:val="24"/>
        </w:rPr>
        <w:t xml:space="preserve">Sold To A Consortium That Includes: </w:t>
      </w:r>
    </w:p>
    <w:p w:rsidR="00C728C1" w:rsidRPr="00BA368C" w:rsidRDefault="00C728C1" w:rsidP="00C728C1">
      <w:pPr>
        <w:rPr>
          <w:rFonts w:ascii="Georgia" w:hAnsi="Georgia"/>
          <w:b/>
          <w:color w:val="333333"/>
          <w:sz w:val="32"/>
          <w:szCs w:val="24"/>
        </w:rPr>
      </w:pPr>
      <w:r w:rsidRPr="00BA368C">
        <w:rPr>
          <w:rFonts w:ascii="Georgia" w:hAnsi="Georgia"/>
          <w:b/>
          <w:color w:val="333333"/>
          <w:sz w:val="32"/>
          <w:szCs w:val="24"/>
        </w:rPr>
        <w:t>Sara Lee European Meats, P.F. Chang’s China Bis</w:t>
      </w:r>
      <w:r w:rsidR="00E4361A">
        <w:rPr>
          <w:rFonts w:ascii="Georgia" w:hAnsi="Georgia"/>
          <w:b/>
          <w:color w:val="333333"/>
          <w:sz w:val="32"/>
          <w:szCs w:val="24"/>
        </w:rPr>
        <w:t xml:space="preserve">tro, </w:t>
      </w:r>
      <w:r w:rsidR="00E4361A">
        <w:rPr>
          <w:rFonts w:ascii="Georgia" w:hAnsi="Georgia"/>
          <w:b/>
          <w:color w:val="333333"/>
          <w:sz w:val="32"/>
          <w:szCs w:val="24"/>
        </w:rPr>
        <w:tab/>
      </w:r>
      <w:r w:rsidR="00E4361A">
        <w:rPr>
          <w:rFonts w:ascii="Georgia" w:hAnsi="Georgia"/>
          <w:b/>
          <w:color w:val="333333"/>
          <w:sz w:val="32"/>
          <w:szCs w:val="24"/>
        </w:rPr>
        <w:tab/>
      </w:r>
      <w:r w:rsidR="00E4361A">
        <w:rPr>
          <w:rFonts w:ascii="Georgia" w:hAnsi="Georgia"/>
          <w:b/>
          <w:color w:val="333333"/>
          <w:sz w:val="32"/>
          <w:szCs w:val="24"/>
        </w:rPr>
        <w:tab/>
      </w:r>
      <w:r w:rsidR="00A41916">
        <w:rPr>
          <w:rFonts w:ascii="Georgia" w:hAnsi="Georgia"/>
          <w:b/>
          <w:color w:val="333333"/>
          <w:sz w:val="32"/>
          <w:szCs w:val="24"/>
        </w:rPr>
        <w:t xml:space="preserve">       </w:t>
      </w:r>
      <w:r w:rsidRPr="00BA368C">
        <w:rPr>
          <w:rFonts w:ascii="Georgia" w:hAnsi="Georgia"/>
          <w:b/>
          <w:color w:val="333333"/>
          <w:sz w:val="32"/>
          <w:szCs w:val="24"/>
        </w:rPr>
        <w:t>Sur La Table, and TGI Friday*</w:t>
      </w:r>
    </w:p>
    <w:p w:rsidR="00C464A6" w:rsidRPr="00BA368C" w:rsidRDefault="00C464A6" w:rsidP="00C728C1">
      <w:pPr>
        <w:rPr>
          <w:rFonts w:ascii="Georgia" w:hAnsi="Georgia"/>
          <w:b/>
          <w:color w:val="333333"/>
          <w:sz w:val="32"/>
          <w:szCs w:val="24"/>
        </w:rPr>
      </w:pPr>
    </w:p>
    <w:p w:rsidR="00C728C1" w:rsidRPr="00BA368C" w:rsidRDefault="00C728C1" w:rsidP="00C728C1">
      <w:pPr>
        <w:rPr>
          <w:rFonts w:ascii="Georgia" w:hAnsi="Georgia"/>
          <w:b/>
          <w:i/>
          <w:color w:val="333333"/>
          <w:sz w:val="32"/>
          <w:szCs w:val="24"/>
        </w:rPr>
      </w:pPr>
      <w:r w:rsidRPr="00BA368C">
        <w:rPr>
          <w:rFonts w:ascii="Georgia" w:hAnsi="Georgia"/>
          <w:b/>
          <w:color w:val="333333"/>
          <w:sz w:val="32"/>
          <w:szCs w:val="24"/>
        </w:rPr>
        <w:t xml:space="preserve">  </w:t>
      </w:r>
      <w:r w:rsidRPr="00BA368C">
        <w:rPr>
          <w:rFonts w:ascii="Georgia" w:hAnsi="Georgia"/>
          <w:b/>
          <w:color w:val="333333"/>
          <w:sz w:val="32"/>
          <w:szCs w:val="24"/>
        </w:rPr>
        <w:tab/>
      </w:r>
      <w:r w:rsidRPr="00BA368C">
        <w:rPr>
          <w:rFonts w:ascii="Georgia" w:hAnsi="Georgia"/>
          <w:b/>
          <w:color w:val="333333"/>
          <w:sz w:val="32"/>
          <w:szCs w:val="24"/>
        </w:rPr>
        <w:tab/>
        <w:t xml:space="preserve">   </w:t>
      </w:r>
      <w:r w:rsidRPr="00BA368C">
        <w:rPr>
          <w:rFonts w:ascii="Georgia" w:hAnsi="Georgia"/>
          <w:b/>
          <w:i/>
          <w:color w:val="333333"/>
          <w:sz w:val="32"/>
          <w:szCs w:val="24"/>
        </w:rPr>
        <w:t xml:space="preserve">    Eric Epstein Sues to Block Transfer</w:t>
      </w:r>
    </w:p>
    <w:p w:rsidR="00C728C1" w:rsidRPr="00BA368C" w:rsidRDefault="00C728C1" w:rsidP="00C728C1">
      <w:pPr>
        <w:rPr>
          <w:rFonts w:ascii="Georgia" w:hAnsi="Georgia"/>
          <w:b/>
          <w:color w:val="333333"/>
          <w:sz w:val="24"/>
          <w:szCs w:val="24"/>
        </w:rPr>
      </w:pPr>
      <w:r w:rsidRPr="00BA368C">
        <w:rPr>
          <w:rFonts w:ascii="Georgia" w:hAnsi="Georgia"/>
          <w:b/>
          <w:color w:val="333333"/>
          <w:sz w:val="24"/>
          <w:szCs w:val="24"/>
        </w:rPr>
        <w:tab/>
      </w:r>
      <w:r w:rsidRPr="00BA368C">
        <w:rPr>
          <w:rFonts w:ascii="Georgia" w:hAnsi="Georgia"/>
          <w:b/>
          <w:color w:val="333333"/>
          <w:sz w:val="24"/>
          <w:szCs w:val="24"/>
        </w:rPr>
        <w:tab/>
      </w:r>
      <w:r w:rsidRPr="00BA368C">
        <w:rPr>
          <w:rFonts w:ascii="Georgia" w:hAnsi="Georgia"/>
          <w:b/>
          <w:color w:val="333333"/>
          <w:sz w:val="24"/>
          <w:szCs w:val="24"/>
        </w:rPr>
        <w:tab/>
      </w:r>
      <w:r w:rsidRPr="00BA368C">
        <w:rPr>
          <w:rFonts w:ascii="Georgia" w:hAnsi="Georgia"/>
          <w:b/>
          <w:color w:val="333333"/>
          <w:sz w:val="24"/>
          <w:szCs w:val="24"/>
        </w:rPr>
        <w:tab/>
      </w:r>
      <w:r w:rsidRPr="00BA368C">
        <w:rPr>
          <w:rFonts w:ascii="Georgia" w:hAnsi="Georgia"/>
          <w:b/>
          <w:color w:val="333333"/>
          <w:sz w:val="24"/>
          <w:szCs w:val="24"/>
        </w:rPr>
        <w:tab/>
      </w:r>
    </w:p>
    <w:p w:rsidR="00C728C1" w:rsidRPr="00BA368C" w:rsidRDefault="00E4361A" w:rsidP="00C728C1">
      <w:pPr>
        <w:rPr>
          <w:rFonts w:ascii="Georgia" w:hAnsi="Georgia"/>
          <w:b/>
          <w:color w:val="333333"/>
          <w:sz w:val="24"/>
          <w:szCs w:val="24"/>
        </w:rPr>
      </w:pPr>
      <w:r>
        <w:rPr>
          <w:rFonts w:ascii="Georgia" w:hAnsi="Georgia"/>
          <w:b/>
          <w:color w:val="333333"/>
          <w:sz w:val="24"/>
          <w:szCs w:val="24"/>
        </w:rPr>
        <w:tab/>
      </w:r>
      <w:r>
        <w:rPr>
          <w:rFonts w:ascii="Georgia" w:hAnsi="Georgia"/>
          <w:b/>
          <w:color w:val="333333"/>
          <w:sz w:val="24"/>
          <w:szCs w:val="24"/>
        </w:rPr>
        <w:tab/>
      </w:r>
      <w:r>
        <w:rPr>
          <w:rFonts w:ascii="Georgia" w:hAnsi="Georgia"/>
          <w:b/>
          <w:color w:val="333333"/>
          <w:sz w:val="24"/>
          <w:szCs w:val="24"/>
        </w:rPr>
        <w:tab/>
      </w:r>
      <w:r>
        <w:rPr>
          <w:rFonts w:ascii="Georgia" w:hAnsi="Georgia"/>
          <w:b/>
          <w:color w:val="333333"/>
          <w:sz w:val="24"/>
          <w:szCs w:val="24"/>
        </w:rPr>
        <w:tab/>
        <w:t xml:space="preserve">    June 1</w:t>
      </w:r>
      <w:r w:rsidR="00C728C1" w:rsidRPr="00BA368C">
        <w:rPr>
          <w:rFonts w:ascii="Georgia" w:hAnsi="Georgia"/>
          <w:b/>
          <w:color w:val="333333"/>
          <w:sz w:val="24"/>
          <w:szCs w:val="24"/>
        </w:rPr>
        <w:t>, 2022</w:t>
      </w:r>
    </w:p>
    <w:p w:rsidR="00C728C1" w:rsidRPr="00BA368C" w:rsidRDefault="00C728C1" w:rsidP="00C728C1">
      <w:pPr>
        <w:rPr>
          <w:rFonts w:ascii="Georgia" w:hAnsi="Georgia"/>
          <w:b/>
          <w:color w:val="333333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b/>
          <w:color w:val="333333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>The proposed sale of Three Mile Island Unit-2 (“TMI-2”) would transfer $862,549,586 from rate payer-funded trusts to a private equity investment firm.</w:t>
      </w:r>
      <w:r w:rsidRPr="00BA368C">
        <w:rPr>
          <w:rFonts w:ascii="Georgia" w:hAnsi="Georgia"/>
          <w:color w:val="333333"/>
          <w:sz w:val="24"/>
          <w:szCs w:val="24"/>
        </w:rPr>
        <w:t xml:space="preserve"> </w:t>
      </w:r>
      <w:r w:rsidR="00C464A6" w:rsidRPr="00BA368C">
        <w:rPr>
          <w:rFonts w:ascii="Georgia" w:hAnsi="Georgia"/>
          <w:color w:val="333333"/>
          <w:sz w:val="24"/>
          <w:szCs w:val="24"/>
        </w:rPr>
        <w:t>Eric Epstein, a</w:t>
      </w:r>
      <w:r w:rsidRPr="00BA368C">
        <w:rPr>
          <w:rFonts w:ascii="Georgia" w:hAnsi="Georgia"/>
          <w:color w:val="333333"/>
          <w:sz w:val="24"/>
          <w:szCs w:val="24"/>
        </w:rPr>
        <w:t xml:space="preserve"> community advocate filed a </w:t>
      </w:r>
      <w:r w:rsidR="00C464A6" w:rsidRPr="00BA368C">
        <w:rPr>
          <w:rFonts w:ascii="Georgia" w:hAnsi="Georgia"/>
          <w:color w:val="333333"/>
          <w:sz w:val="24"/>
          <w:szCs w:val="24"/>
        </w:rPr>
        <w:t>69-page</w:t>
      </w:r>
      <w:r w:rsidRPr="00BA368C">
        <w:rPr>
          <w:rFonts w:ascii="Georgia" w:hAnsi="Georgia"/>
          <w:color w:val="333333"/>
          <w:sz w:val="24"/>
          <w:szCs w:val="24"/>
        </w:rPr>
        <w:t xml:space="preserve"> Petition today at the Nuclear Regulatory Commission (“NRC”) to block the transfer. </w:t>
      </w:r>
      <w:r w:rsidR="009C3A21" w:rsidRPr="00BA368C">
        <w:rPr>
          <w:rFonts w:ascii="Georgia" w:hAnsi="Georgia"/>
          <w:color w:val="333333"/>
          <w:sz w:val="24"/>
          <w:szCs w:val="24"/>
        </w:rPr>
        <w:t>Eric</w:t>
      </w:r>
      <w:r w:rsidRPr="00BA368C">
        <w:rPr>
          <w:rFonts w:ascii="Georgia" w:hAnsi="Georgia"/>
          <w:color w:val="333333"/>
          <w:sz w:val="24"/>
          <w:szCs w:val="24"/>
        </w:rPr>
        <w:t xml:space="preserve"> Epstein argued that the private investment firm, </w:t>
      </w:r>
      <w:r w:rsidRPr="00BA368C">
        <w:rPr>
          <w:rFonts w:ascii="Georgia" w:hAnsi="Georgia"/>
          <w:color w:val="000000"/>
          <w:sz w:val="24"/>
          <w:szCs w:val="24"/>
        </w:rPr>
        <w:t>TriArtisan’s, has not provided sufficient decommissioning financial assurance: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 xml:space="preserve"> 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>• The cost estimate fails to account for the likely existence of - and cost to remediate - additional high-level radiological contamination; and,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>• The cost estimate fails to account for costs associated with repackaging spent nuclear fuel for transportation.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>The purchaser ant</w:t>
      </w:r>
      <w:r w:rsidR="00DA3EB5" w:rsidRPr="00BA368C">
        <w:rPr>
          <w:rFonts w:ascii="Georgia" w:hAnsi="Georgia"/>
          <w:color w:val="000000"/>
          <w:sz w:val="24"/>
          <w:szCs w:val="24"/>
        </w:rPr>
        <w:t xml:space="preserve">icipated a shortfall in the </w:t>
      </w:r>
      <w:r w:rsidRPr="00BA368C">
        <w:rPr>
          <w:rFonts w:ascii="Georgia" w:hAnsi="Georgia"/>
          <w:color w:val="000000"/>
          <w:sz w:val="24"/>
          <w:szCs w:val="24"/>
        </w:rPr>
        <w:t xml:space="preserve">Purchase Agreement and stated it “does not foreclose TMI-2 Solutions from deferring active Decommissioning work, if necessary, to preserve or grow NDT funds.” (Application, November 12, 2019, p. 11)  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 xml:space="preserve">Eric Epstein stated: “Sadly we devolved to the point where Sara Lee is cleaning up Three Mile Island. Financial assurance models are based on revenue-generating concerns, capable of setting aside funds to offset future decommissioning costs. This is not the case at Three Mile Island where cost overruns are a historic </w:t>
      </w:r>
      <w:r w:rsidR="00437DA3" w:rsidRPr="00BA368C">
        <w:rPr>
          <w:rFonts w:ascii="Georgia" w:hAnsi="Georgia"/>
          <w:color w:val="000000"/>
          <w:sz w:val="24"/>
          <w:szCs w:val="24"/>
        </w:rPr>
        <w:t xml:space="preserve">fact and inevitable. TriArtisan is not </w:t>
      </w:r>
      <w:r w:rsidRPr="00BA368C">
        <w:rPr>
          <w:rFonts w:ascii="Georgia" w:hAnsi="Georgia"/>
          <w:color w:val="000000"/>
          <w:sz w:val="24"/>
          <w:szCs w:val="24"/>
        </w:rPr>
        <w:t xml:space="preserve">financially or </w:t>
      </w:r>
      <w:r w:rsidR="00437DA3" w:rsidRPr="00BA368C">
        <w:rPr>
          <w:rFonts w:ascii="Georgia" w:hAnsi="Georgia"/>
          <w:color w:val="000000"/>
          <w:sz w:val="24"/>
          <w:szCs w:val="24"/>
        </w:rPr>
        <w:t xml:space="preserve">technically capable </w:t>
      </w:r>
      <w:r w:rsidR="00C464A6" w:rsidRPr="00BA368C">
        <w:rPr>
          <w:rFonts w:ascii="Georgia" w:hAnsi="Georgia"/>
          <w:color w:val="000000"/>
          <w:sz w:val="24"/>
          <w:szCs w:val="24"/>
        </w:rPr>
        <w:t>of</w:t>
      </w:r>
      <w:r w:rsidR="00437DA3" w:rsidRPr="00BA368C">
        <w:rPr>
          <w:rFonts w:ascii="Georgia" w:hAnsi="Georgia"/>
          <w:color w:val="000000"/>
          <w:sz w:val="24"/>
          <w:szCs w:val="24"/>
        </w:rPr>
        <w:t xml:space="preserve"> cleaning-up the </w:t>
      </w:r>
      <w:r w:rsidRPr="00BA368C">
        <w:rPr>
          <w:rFonts w:ascii="Georgia" w:hAnsi="Georgia"/>
          <w:color w:val="000000"/>
          <w:sz w:val="24"/>
          <w:szCs w:val="24"/>
        </w:rPr>
        <w:t xml:space="preserve">site of the nation’s worst nuclear accident.” 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06715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 xml:space="preserve">Epstein pointed out </w:t>
      </w:r>
      <w:r w:rsidR="00DA3EB5" w:rsidRPr="00BA368C">
        <w:rPr>
          <w:rFonts w:ascii="Georgia" w:hAnsi="Georgia"/>
          <w:color w:val="000000"/>
          <w:sz w:val="24"/>
          <w:szCs w:val="24"/>
        </w:rPr>
        <w:t xml:space="preserve">that the licensee reported </w:t>
      </w:r>
      <w:r w:rsidRPr="00BA368C">
        <w:rPr>
          <w:rFonts w:ascii="Georgia" w:hAnsi="Georgia"/>
          <w:color w:val="000000"/>
          <w:sz w:val="24"/>
          <w:szCs w:val="24"/>
        </w:rPr>
        <w:t>as of December 31, 2020, (</w:t>
      </w:r>
      <w:r w:rsidRPr="00BA368C">
        <w:rPr>
          <w:rFonts w:ascii="Georgia" w:hAnsi="Georgia"/>
          <w:color w:val="0033CC"/>
          <w:sz w:val="24"/>
          <w:szCs w:val="24"/>
        </w:rPr>
        <w:t>ML21099A115</w:t>
      </w:r>
      <w:r w:rsidRPr="00BA368C">
        <w:rPr>
          <w:rFonts w:ascii="Georgia" w:hAnsi="Georgia"/>
          <w:color w:val="000000"/>
          <w:sz w:val="24"/>
          <w:szCs w:val="24"/>
        </w:rPr>
        <w:t xml:space="preserve">) - the most recent accounting available - the </w:t>
      </w:r>
      <w:r w:rsidRPr="00BA368C">
        <w:rPr>
          <w:rFonts w:ascii="Georgia" w:hAnsi="Georgia"/>
          <w:b/>
          <w:color w:val="000000"/>
          <w:sz w:val="24"/>
          <w:szCs w:val="24"/>
        </w:rPr>
        <w:t xml:space="preserve">“minimal” amount required </w:t>
      </w:r>
      <w:r w:rsidRPr="00BA368C">
        <w:rPr>
          <w:rFonts w:ascii="Georgia" w:hAnsi="Georgia"/>
          <w:color w:val="000000"/>
          <w:sz w:val="24"/>
          <w:szCs w:val="24"/>
        </w:rPr>
        <w:t xml:space="preserve">for radiological decommissioning at TMI-2 was </w:t>
      </w:r>
      <w:r w:rsidRPr="00BA368C">
        <w:rPr>
          <w:color w:val="000000"/>
          <w:sz w:val="24"/>
          <w:szCs w:val="24"/>
        </w:rPr>
        <w:t xml:space="preserve">$1,044,364,000. </w:t>
      </w:r>
      <w:r w:rsidRPr="00BA368C">
        <w:rPr>
          <w:rFonts w:ascii="Georgia" w:hAnsi="Georgia"/>
          <w:color w:val="000000"/>
          <w:sz w:val="24"/>
          <w:szCs w:val="24"/>
        </w:rPr>
        <w:t xml:space="preserve">However, prior to the proposed transfer to TriArtisan, the balance of the decommissioning trust fund was reported to the NRC to be: </w:t>
      </w:r>
      <w:r w:rsidRPr="00BA368C">
        <w:rPr>
          <w:color w:val="000000"/>
          <w:sz w:val="24"/>
          <w:szCs w:val="24"/>
        </w:rPr>
        <w:t>$862,549,586</w:t>
      </w:r>
      <w:r w:rsidRPr="00BA368C">
        <w:rPr>
          <w:rFonts w:ascii="Georgia" w:hAnsi="Georgia"/>
          <w:color w:val="000000"/>
          <w:sz w:val="24"/>
          <w:szCs w:val="24"/>
        </w:rPr>
        <w:t>. Epstein said, “In other words, prior to a human entry into TMI-2, the cleanup fund, assuming optimal conditions, is underwater by $181 million.”</w:t>
      </w:r>
    </w:p>
    <w:p w:rsidR="00C06715" w:rsidRDefault="00C06715" w:rsidP="00C728C1">
      <w:pPr>
        <w:rPr>
          <w:rFonts w:ascii="Georgia" w:hAnsi="Georgia"/>
          <w:color w:val="000000"/>
          <w:sz w:val="24"/>
          <w:szCs w:val="24"/>
        </w:rPr>
      </w:pPr>
    </w:p>
    <w:p w:rsidR="00C06715" w:rsidRDefault="00C06715" w:rsidP="00C728C1">
      <w:pPr>
        <w:rPr>
          <w:rFonts w:ascii="Georgia" w:hAnsi="Georgia"/>
          <w:color w:val="000000"/>
          <w:sz w:val="24"/>
          <w:szCs w:val="24"/>
        </w:rPr>
      </w:pPr>
    </w:p>
    <w:p w:rsidR="00C06715" w:rsidRDefault="00C06715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 xml:space="preserve"> 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110000"/>
          <w:sz w:val="24"/>
          <w:szCs w:val="24"/>
        </w:rPr>
        <w:tab/>
        <w:t xml:space="preserve">Epstein added, </w:t>
      </w:r>
      <w:r w:rsidR="00F75C29" w:rsidRPr="00BA368C">
        <w:rPr>
          <w:rFonts w:ascii="Georgia" w:hAnsi="Georgia"/>
          <w:color w:val="110000"/>
          <w:sz w:val="24"/>
          <w:szCs w:val="24"/>
        </w:rPr>
        <w:t>“TMI</w:t>
      </w:r>
      <w:r w:rsidRPr="00BA368C">
        <w:rPr>
          <w:rFonts w:ascii="Georgia" w:hAnsi="Georgia"/>
          <w:color w:val="000000"/>
          <w:sz w:val="24"/>
          <w:szCs w:val="24"/>
        </w:rPr>
        <w:t xml:space="preserve">-2 is a case study of cost overruns, delays, and radiation releases. There </w:t>
      </w:r>
      <w:r w:rsidR="00AC3BD5" w:rsidRPr="00BA368C">
        <w:rPr>
          <w:rFonts w:ascii="Georgia" w:hAnsi="Georgia"/>
          <w:color w:val="000000"/>
          <w:sz w:val="24"/>
          <w:szCs w:val="24"/>
        </w:rPr>
        <w:t xml:space="preserve">is </w:t>
      </w:r>
      <w:r w:rsidRPr="00BA368C">
        <w:rPr>
          <w:rFonts w:ascii="Georgia" w:hAnsi="Georgia"/>
          <w:color w:val="000000"/>
          <w:sz w:val="24"/>
          <w:szCs w:val="24"/>
        </w:rPr>
        <w:t>a financial chasm between</w:t>
      </w:r>
      <w:r w:rsidR="00B763E2" w:rsidRPr="00BA368C">
        <w:rPr>
          <w:rFonts w:ascii="Georgia" w:hAnsi="Georgia"/>
          <w:color w:val="000000"/>
          <w:sz w:val="24"/>
          <w:szCs w:val="24"/>
        </w:rPr>
        <w:t xml:space="preserve"> the “minimal cost estimate” </w:t>
      </w:r>
      <w:r w:rsidRPr="00BA368C">
        <w:rPr>
          <w:rFonts w:ascii="Georgia" w:hAnsi="Georgia"/>
          <w:color w:val="000000"/>
          <w:sz w:val="24"/>
          <w:szCs w:val="24"/>
        </w:rPr>
        <w:t xml:space="preserve">and </w:t>
      </w:r>
      <w:r w:rsidRPr="00BA368C">
        <w:rPr>
          <w:rFonts w:ascii="Georgia" w:hAnsi="Georgia"/>
          <w:color w:val="110000"/>
          <w:sz w:val="24"/>
          <w:szCs w:val="24"/>
        </w:rPr>
        <w:t>available funds because the p</w:t>
      </w:r>
      <w:r w:rsidR="00E56A7C" w:rsidRPr="00BA368C">
        <w:rPr>
          <w:rFonts w:ascii="Georgia" w:hAnsi="Georgia"/>
          <w:color w:val="110000"/>
          <w:sz w:val="24"/>
          <w:szCs w:val="24"/>
        </w:rPr>
        <w:t xml:space="preserve">urchaser failed to account for </w:t>
      </w:r>
      <w:r w:rsidRPr="00BA368C">
        <w:rPr>
          <w:rFonts w:ascii="Georgia" w:hAnsi="Georgia"/>
          <w:color w:val="110000"/>
          <w:sz w:val="24"/>
          <w:szCs w:val="24"/>
        </w:rPr>
        <w:t xml:space="preserve">additional radioactive contamination. </w:t>
      </w:r>
      <w:r w:rsidRPr="00BA368C">
        <w:rPr>
          <w:rFonts w:ascii="Georgia" w:hAnsi="Georgia"/>
          <w:color w:val="000000"/>
          <w:sz w:val="24"/>
          <w:szCs w:val="24"/>
        </w:rPr>
        <w:t xml:space="preserve">TMI-2 Solutions has created a corporate structure designed to insulate itself from financial risk, and a default by TriArtisan could leave the task of funding the cleanup to </w:t>
      </w:r>
      <w:r w:rsidR="00410B03" w:rsidRPr="00BA368C">
        <w:rPr>
          <w:rFonts w:ascii="Georgia" w:hAnsi="Georgia"/>
          <w:color w:val="000000"/>
          <w:sz w:val="24"/>
          <w:szCs w:val="24"/>
        </w:rPr>
        <w:t>taxpayers</w:t>
      </w:r>
      <w:r w:rsidRPr="00BA368C">
        <w:rPr>
          <w:rFonts w:ascii="Georgia" w:hAnsi="Georgia"/>
          <w:color w:val="000000"/>
          <w:sz w:val="24"/>
          <w:szCs w:val="24"/>
        </w:rPr>
        <w:t>.”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 xml:space="preserve">The fact that Mr. Epstein, who has been associated with Three Mile Island for forty years, has to prove “standing” while the Applicants </w:t>
      </w:r>
      <w:r w:rsidR="009E2BCA" w:rsidRPr="00BA368C">
        <w:rPr>
          <w:rFonts w:ascii="Georgia" w:hAnsi="Georgia"/>
          <w:color w:val="000000"/>
          <w:sz w:val="24"/>
          <w:szCs w:val="24"/>
        </w:rPr>
        <w:t xml:space="preserve">enjoy being able to </w:t>
      </w:r>
      <w:r w:rsidRPr="00BA368C">
        <w:rPr>
          <w:rFonts w:ascii="Georgia" w:hAnsi="Georgia"/>
          <w:color w:val="000000"/>
          <w:sz w:val="24"/>
          <w:szCs w:val="24"/>
        </w:rPr>
        <w:t>“purchase</w:t>
      </w:r>
      <w:r w:rsidR="009E2BCA" w:rsidRPr="00BA368C">
        <w:rPr>
          <w:rFonts w:ascii="Georgia" w:hAnsi="Georgia"/>
          <w:color w:val="000000"/>
          <w:sz w:val="24"/>
          <w:szCs w:val="24"/>
        </w:rPr>
        <w:t xml:space="preserve"> </w:t>
      </w:r>
      <w:r w:rsidRPr="00BA368C">
        <w:rPr>
          <w:rFonts w:ascii="Georgia" w:hAnsi="Georgia"/>
          <w:color w:val="000000"/>
          <w:sz w:val="24"/>
          <w:szCs w:val="24"/>
        </w:rPr>
        <w:t>standing” is appalling. The Applicant in this proceeding, Energy</w:t>
      </w:r>
      <w:r w:rsidRPr="00BA368C">
        <w:rPr>
          <w:rFonts w:ascii="Georgia" w:hAnsi="Georgia"/>
          <w:i/>
          <w:color w:val="000000"/>
          <w:sz w:val="24"/>
          <w:szCs w:val="24"/>
        </w:rPr>
        <w:t>Solutions</w:t>
      </w:r>
      <w:r w:rsidRPr="00BA368C">
        <w:rPr>
          <w:rFonts w:ascii="Georgia" w:hAnsi="Georgia"/>
          <w:color w:val="000000"/>
          <w:sz w:val="24"/>
          <w:szCs w:val="24"/>
        </w:rPr>
        <w:t xml:space="preserve"> is based in Salt Lake City, Utah </w:t>
      </w:r>
      <w:r w:rsidR="00B763E2" w:rsidRPr="00BA368C">
        <w:rPr>
          <w:rFonts w:ascii="Georgia" w:hAnsi="Georgia"/>
          <w:color w:val="000000"/>
          <w:sz w:val="24"/>
          <w:szCs w:val="24"/>
        </w:rPr>
        <w:t xml:space="preserve">(2,046 miles from Middletown), </w:t>
      </w:r>
      <w:r w:rsidRPr="00BA368C">
        <w:rPr>
          <w:rFonts w:ascii="Georgia" w:hAnsi="Georgia"/>
          <w:color w:val="000000"/>
          <w:sz w:val="24"/>
          <w:szCs w:val="24"/>
        </w:rPr>
        <w:t>and its proposed new owner, TriArtisan, is a financial raider h</w:t>
      </w:r>
      <w:r w:rsidR="00B763E2" w:rsidRPr="00BA368C">
        <w:rPr>
          <w:rFonts w:ascii="Georgia" w:hAnsi="Georgia"/>
          <w:color w:val="000000"/>
          <w:sz w:val="24"/>
          <w:szCs w:val="24"/>
        </w:rPr>
        <w:t xml:space="preserve">ustling out of New York City, and </w:t>
      </w:r>
      <w:r w:rsidRPr="00BA368C">
        <w:rPr>
          <w:rFonts w:ascii="Georgia" w:hAnsi="Georgia"/>
          <w:color w:val="000000"/>
          <w:sz w:val="24"/>
          <w:szCs w:val="24"/>
        </w:rPr>
        <w:t>located 171 miles from Middletown.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>In addition, at least 28% of TriArtisan’s stock is controlled by foreign ownership.</w:t>
      </w:r>
      <w:r w:rsidRPr="00BA368C">
        <w:rPr>
          <w:rFonts w:ascii="Georgia" w:hAnsi="Georgia"/>
          <w:color w:val="222222"/>
          <w:sz w:val="24"/>
          <w:szCs w:val="24"/>
        </w:rPr>
        <w:t>*</w:t>
      </w:r>
      <w:r w:rsidRPr="00BA368C">
        <w:rPr>
          <w:rFonts w:ascii="Georgia" w:hAnsi="Georgia"/>
          <w:color w:val="222222"/>
          <w:sz w:val="24"/>
          <w:szCs w:val="24"/>
        </w:rPr>
        <w:tab/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 xml:space="preserve">* TriArtisan has no nuclear </w:t>
      </w:r>
      <w:r w:rsidR="00BA368C" w:rsidRPr="00BA368C">
        <w:rPr>
          <w:rFonts w:ascii="Georgia" w:hAnsi="Georgia"/>
          <w:color w:val="222222"/>
          <w:sz w:val="24"/>
          <w:szCs w:val="24"/>
        </w:rPr>
        <w:t>experience but</w:t>
      </w:r>
      <w:r w:rsidRPr="00BA368C">
        <w:rPr>
          <w:rFonts w:ascii="Georgia" w:hAnsi="Georgia"/>
          <w:color w:val="222222"/>
          <w:sz w:val="24"/>
          <w:szCs w:val="24"/>
        </w:rPr>
        <w:t xml:space="preserve"> is skilled in the entertainment and food industries. TriArtisan's holdings include: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>• Cannery Casino Resorts.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 xml:space="preserve">• Creating Culinary </w:t>
      </w:r>
      <w:r w:rsidR="00BA368C" w:rsidRPr="00BA368C">
        <w:rPr>
          <w:rFonts w:ascii="Georgia" w:hAnsi="Georgia"/>
          <w:color w:val="222222"/>
          <w:sz w:val="24"/>
          <w:szCs w:val="24"/>
        </w:rPr>
        <w:t>Communities</w:t>
      </w:r>
      <w:r w:rsidR="00BA368C">
        <w:rPr>
          <w:rFonts w:ascii="Georgia" w:hAnsi="Georgia"/>
          <w:color w:val="222222"/>
          <w:sz w:val="24"/>
          <w:szCs w:val="24"/>
        </w:rPr>
        <w:t>.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>• Eight O'Clock Coffee.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>• Paddock Swimming Pools.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>• P.F. Chang's China Bistro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>• Sara Lee European Meats.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>• Sur La Table.</w:t>
      </w:r>
    </w:p>
    <w:p w:rsidR="00C728C1" w:rsidRPr="00BA368C" w:rsidRDefault="00C728C1" w:rsidP="00C728C1">
      <w:pPr>
        <w:rPr>
          <w:rFonts w:ascii="Georgia" w:hAnsi="Georgia"/>
          <w:color w:val="222222"/>
          <w:sz w:val="24"/>
          <w:szCs w:val="24"/>
        </w:rPr>
      </w:pPr>
      <w:r w:rsidRPr="00BA368C">
        <w:rPr>
          <w:rFonts w:ascii="Georgia" w:hAnsi="Georgia"/>
          <w:color w:val="222222"/>
          <w:sz w:val="24"/>
          <w:szCs w:val="24"/>
        </w:rPr>
        <w:t xml:space="preserve">• TGI Fridays. </w:t>
      </w:r>
    </w:p>
    <w:p w:rsidR="00C728C1" w:rsidRPr="00BA368C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 xml:space="preserve">   </w:t>
      </w:r>
    </w:p>
    <w:p w:rsidR="00C728C1" w:rsidRPr="00C728C1" w:rsidRDefault="00C728C1" w:rsidP="00C728C1">
      <w:pPr>
        <w:rPr>
          <w:rFonts w:ascii="Georgia" w:hAnsi="Georgia"/>
          <w:color w:val="000000"/>
          <w:sz w:val="24"/>
          <w:szCs w:val="24"/>
        </w:rPr>
      </w:pPr>
      <w:r w:rsidRPr="00BA368C">
        <w:rPr>
          <w:rFonts w:ascii="Georgia" w:hAnsi="Georgia"/>
          <w:color w:val="000000"/>
          <w:sz w:val="24"/>
          <w:szCs w:val="24"/>
        </w:rPr>
        <w:tab/>
        <w:t>Mr. Epstein stated, “In other words, TGI Friday</w:t>
      </w:r>
      <w:r w:rsidR="005669C7" w:rsidRPr="00BA368C">
        <w:rPr>
          <w:rFonts w:ascii="Georgia" w:hAnsi="Georgia"/>
          <w:color w:val="000000"/>
          <w:sz w:val="24"/>
          <w:szCs w:val="24"/>
        </w:rPr>
        <w:t>s</w:t>
      </w:r>
      <w:r w:rsidRPr="00BA368C">
        <w:rPr>
          <w:rFonts w:ascii="Georgia" w:hAnsi="Georgia"/>
          <w:color w:val="000000"/>
          <w:sz w:val="24"/>
          <w:szCs w:val="24"/>
        </w:rPr>
        <w:t xml:space="preserve"> and Sara Lee will be heading the cleanup of Three Mile </w:t>
      </w:r>
      <w:r w:rsidR="00BA368C" w:rsidRPr="00BA368C">
        <w:rPr>
          <w:rFonts w:ascii="Georgia" w:hAnsi="Georgia"/>
          <w:color w:val="000000"/>
          <w:sz w:val="24"/>
          <w:szCs w:val="24"/>
        </w:rPr>
        <w:t>Island and</w:t>
      </w:r>
      <w:r w:rsidRPr="00BA368C">
        <w:rPr>
          <w:rFonts w:ascii="Georgia" w:hAnsi="Georgia"/>
          <w:color w:val="000000"/>
          <w:sz w:val="24"/>
          <w:szCs w:val="24"/>
        </w:rPr>
        <w:t xml:space="preserve"> leaning on their experience of serving Philly </w:t>
      </w:r>
      <w:r w:rsidR="005D4AA6" w:rsidRPr="00BA368C">
        <w:rPr>
          <w:rFonts w:ascii="Georgia" w:hAnsi="Georgia"/>
          <w:color w:val="000000"/>
          <w:sz w:val="24"/>
          <w:szCs w:val="24"/>
        </w:rPr>
        <w:t>Cheesesteak</w:t>
      </w:r>
      <w:r w:rsidRPr="00BA368C">
        <w:rPr>
          <w:rFonts w:ascii="Georgia" w:hAnsi="Georgia"/>
          <w:color w:val="000000"/>
          <w:sz w:val="24"/>
          <w:szCs w:val="24"/>
        </w:rPr>
        <w:t xml:space="preserve"> Egg ro</w:t>
      </w:r>
      <w:r w:rsidR="005669C7" w:rsidRPr="00BA368C">
        <w:rPr>
          <w:rFonts w:ascii="Georgia" w:hAnsi="Georgia"/>
          <w:color w:val="000000"/>
          <w:sz w:val="24"/>
          <w:szCs w:val="24"/>
        </w:rPr>
        <w:t xml:space="preserve">lls and canning Vienna sausage </w:t>
      </w:r>
      <w:r w:rsidRPr="00BA368C">
        <w:rPr>
          <w:rFonts w:ascii="Georgia" w:hAnsi="Georgia"/>
          <w:color w:val="000000"/>
          <w:sz w:val="24"/>
          <w:szCs w:val="24"/>
        </w:rPr>
        <w:t>to cleanup one of the most contaminated sites in America.”</w:t>
      </w:r>
    </w:p>
    <w:p w:rsidR="003875A7" w:rsidRDefault="00C728C1" w:rsidP="00C728C1">
      <w:pPr>
        <w:rPr>
          <w:sz w:val="32"/>
          <w:szCs w:val="32"/>
        </w:rPr>
      </w:pPr>
      <w:r w:rsidRPr="00C728C1">
        <w:rPr>
          <w:rFonts w:ascii="Georgia" w:hAnsi="Georgia"/>
          <w:color w:val="000000"/>
          <w:sz w:val="24"/>
          <w:szCs w:val="24"/>
        </w:rPr>
        <w:tab/>
      </w:r>
    </w:p>
    <w:p w:rsidR="003875A7" w:rsidRPr="00605BDD" w:rsidRDefault="003875A7" w:rsidP="00605BDD">
      <w:pPr>
        <w:rPr>
          <w:sz w:val="32"/>
          <w:szCs w:val="32"/>
        </w:rPr>
      </w:pPr>
    </w:p>
    <w:sectPr w:rsidR="003875A7" w:rsidRPr="00605BDD" w:rsidSect="00D83CF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attachedTemplate r:id="rId1"/>
  <w:doNotTrackMoves/>
  <w:defaultTabStop w:val="720"/>
  <w:characterSpacingControl w:val="doNotCompress"/>
  <w:compat/>
  <w:rsids>
    <w:rsidRoot w:val="0086186C"/>
    <w:rsid w:val="001B7195"/>
    <w:rsid w:val="003875A7"/>
    <w:rsid w:val="00410B03"/>
    <w:rsid w:val="00437DA3"/>
    <w:rsid w:val="00560B50"/>
    <w:rsid w:val="005669C7"/>
    <w:rsid w:val="00574D21"/>
    <w:rsid w:val="005C53FF"/>
    <w:rsid w:val="005D4AA6"/>
    <w:rsid w:val="00605BDD"/>
    <w:rsid w:val="00645252"/>
    <w:rsid w:val="006D3D74"/>
    <w:rsid w:val="0083569A"/>
    <w:rsid w:val="0086186C"/>
    <w:rsid w:val="008B4B95"/>
    <w:rsid w:val="009C3A21"/>
    <w:rsid w:val="009E2BCA"/>
    <w:rsid w:val="00A41916"/>
    <w:rsid w:val="00A9204E"/>
    <w:rsid w:val="00AC3BD5"/>
    <w:rsid w:val="00B763E2"/>
    <w:rsid w:val="00BA368C"/>
    <w:rsid w:val="00C06715"/>
    <w:rsid w:val="00C464A6"/>
    <w:rsid w:val="00C728C1"/>
    <w:rsid w:val="00D83CF1"/>
    <w:rsid w:val="00DA3EB5"/>
    <w:rsid w:val="00E220A4"/>
    <w:rsid w:val="00E4361A"/>
    <w:rsid w:val="00E56A7C"/>
    <w:rsid w:val="00E66B8F"/>
    <w:rsid w:val="00F75C29"/>
    <w:rsid w:val="00F75D15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D83C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3C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3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3CF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83CF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83CF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D83CF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3CF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D83CF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D83CF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83CF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\Users\Tom\AppData\Local\Microsoft\Office\16.0\DTS\en-US{2980CD05-1430-4D6A-927A-525B5BB5D367}\{86F0AFCD-750E-412B-807C-AA5EF061834F}tf02786999.dotx</Template>
  <TotalTime>13</TotalTime>
  <Pages>2</Pages>
  <Words>533</Words>
  <Characters>3039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15</cp:revision>
  <dcterms:created xsi:type="dcterms:W3CDTF">2022-02-10T19:34:00Z</dcterms:created>
  <dcterms:modified xsi:type="dcterms:W3CDTF">2022-06-01T11:34:00Z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