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customXml/itemProps3.xml" ContentType="application/vnd.openxmlformats-officedocument.customXml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834" w:rsidRPr="00284C86" w:rsidRDefault="00FA5834" w:rsidP="00FA5834">
      <w:pPr>
        <w:rPr>
          <w:rFonts w:ascii="Georgia" w:hAnsi="Georgia"/>
          <w:color w:val="222222"/>
        </w:rPr>
      </w:pPr>
      <w:r>
        <w:t xml:space="preserve"> </w:t>
      </w:r>
      <w:r w:rsidRPr="00284C86">
        <w:rPr>
          <w:rFonts w:ascii="Georgia" w:hAnsi="Georgia"/>
          <w:color w:val="222222"/>
        </w:rPr>
        <w:tab/>
      </w:r>
      <w:r w:rsidRPr="00284C86">
        <w:rPr>
          <w:rFonts w:ascii="Georgia" w:hAnsi="Georgia"/>
          <w:color w:val="222222"/>
        </w:rPr>
        <w:tab/>
      </w:r>
      <w:r w:rsidRPr="00284C86">
        <w:rPr>
          <w:rFonts w:ascii="Georgia" w:hAnsi="Georgia"/>
          <w:color w:val="222222"/>
        </w:rPr>
        <w:tab/>
      </w:r>
      <w:r w:rsidRPr="00284C86">
        <w:rPr>
          <w:rFonts w:ascii="Georgia" w:hAnsi="Georgia"/>
          <w:color w:val="222222"/>
        </w:rPr>
        <w:tab/>
      </w:r>
      <w:r w:rsidRPr="00284C86">
        <w:rPr>
          <w:rFonts w:ascii="Georgia" w:hAnsi="Georgia"/>
          <w:color w:val="222222"/>
        </w:rPr>
        <w:tab/>
        <w:t>January 24, 2022</w:t>
      </w:r>
    </w:p>
    <w:p w:rsidR="00FA5834" w:rsidRPr="00284C86" w:rsidRDefault="00FA5834" w:rsidP="00FA5834">
      <w:pPr>
        <w:rPr>
          <w:rFonts w:ascii="Georgia" w:hAnsi="Georgia"/>
          <w:color w:val="222222"/>
        </w:rPr>
      </w:pPr>
    </w:p>
    <w:p w:rsidR="00FA5834" w:rsidRDefault="00FA5834" w:rsidP="00FA5834">
      <w:pPr>
        <w:rPr>
          <w:rFonts w:ascii="Georgia" w:hAnsi="Georgia"/>
          <w:color w:val="222222"/>
        </w:rPr>
      </w:pPr>
    </w:p>
    <w:p w:rsidR="00FA5834" w:rsidRDefault="00FA5834" w:rsidP="00FA5834">
      <w:pPr>
        <w:rPr>
          <w:rFonts w:ascii="Georgia" w:hAnsi="Georgia"/>
          <w:color w:val="222222"/>
        </w:rPr>
      </w:pPr>
    </w:p>
    <w:p w:rsidR="00087882" w:rsidRDefault="00FA5834" w:rsidP="00FA5834">
      <w:pPr>
        <w:rPr>
          <w:rFonts w:ascii="Georgia" w:hAnsi="Georgia"/>
          <w:color w:val="222222"/>
        </w:rPr>
      </w:pPr>
      <w:r w:rsidRPr="00284C86">
        <w:rPr>
          <w:rFonts w:ascii="Georgia" w:hAnsi="Georgia"/>
          <w:color w:val="222222"/>
        </w:rPr>
        <w:t xml:space="preserve">Office of the Secretary, </w:t>
      </w:r>
    </w:p>
    <w:p w:rsidR="00FA5834" w:rsidRPr="00284C86" w:rsidRDefault="00FA5834" w:rsidP="00FA5834">
      <w:pPr>
        <w:rPr>
          <w:rFonts w:ascii="Georgia" w:hAnsi="Georgia"/>
          <w:color w:val="222222"/>
        </w:rPr>
      </w:pPr>
      <w:r w:rsidRPr="00284C86">
        <w:rPr>
          <w:rFonts w:ascii="Georgia" w:hAnsi="Georgia"/>
          <w:color w:val="222222"/>
        </w:rPr>
        <w:t>c/o Open Records Officer</w:t>
      </w:r>
    </w:p>
    <w:p w:rsidR="00FA5834" w:rsidRPr="00284C86" w:rsidRDefault="00FA5834" w:rsidP="00FA5834">
      <w:pPr>
        <w:rPr>
          <w:rFonts w:ascii="Georgia" w:hAnsi="Georgia"/>
          <w:color w:val="222222"/>
        </w:rPr>
      </w:pPr>
      <w:r w:rsidRPr="00284C86">
        <w:rPr>
          <w:rFonts w:ascii="Georgia" w:hAnsi="Georgia"/>
          <w:color w:val="222222"/>
        </w:rPr>
        <w:t>PA Public Utility Commission</w:t>
      </w:r>
    </w:p>
    <w:p w:rsidR="00FA5834" w:rsidRPr="00284C86" w:rsidRDefault="00FA5834" w:rsidP="00FA5834">
      <w:pPr>
        <w:rPr>
          <w:rFonts w:ascii="Georgia" w:hAnsi="Georgia"/>
          <w:color w:val="222222"/>
        </w:rPr>
      </w:pPr>
      <w:r w:rsidRPr="00284C86">
        <w:rPr>
          <w:rFonts w:ascii="Georgia" w:hAnsi="Georgia"/>
          <w:color w:val="222222"/>
        </w:rPr>
        <w:t>400 North Street</w:t>
      </w:r>
    </w:p>
    <w:p w:rsidR="00FA5834" w:rsidRPr="00284C86" w:rsidRDefault="00FA5834" w:rsidP="00FA5834">
      <w:pPr>
        <w:rPr>
          <w:rFonts w:ascii="Georgia" w:hAnsi="Georgia"/>
          <w:color w:val="000000"/>
        </w:rPr>
      </w:pPr>
      <w:r w:rsidRPr="00284C86">
        <w:rPr>
          <w:rFonts w:ascii="Georgia" w:hAnsi="Georgia"/>
          <w:color w:val="222222"/>
        </w:rPr>
        <w:t>Harrisburg, PA 17120</w:t>
      </w:r>
      <w:r w:rsidRPr="00284C86">
        <w:rPr>
          <w:rFonts w:ascii="Georgia" w:hAnsi="Georgia"/>
          <w:color w:val="000000"/>
        </w:rPr>
        <w:t xml:space="preserve"> </w:t>
      </w:r>
    </w:p>
    <w:p w:rsidR="00FA5834" w:rsidRPr="00284C86" w:rsidRDefault="00FA5834" w:rsidP="00FA5834">
      <w:pPr>
        <w:rPr>
          <w:rFonts w:ascii="Georgia" w:hAnsi="Georgia"/>
          <w:b/>
          <w:color w:val="000000"/>
        </w:rPr>
      </w:pPr>
      <w:r w:rsidRPr="00284C86">
        <w:rPr>
          <w:rFonts w:ascii="Georgia" w:hAnsi="Georgia"/>
          <w:color w:val="000000"/>
        </w:rPr>
        <w:t xml:space="preserve">    </w:t>
      </w:r>
      <w:r w:rsidRPr="00284C86">
        <w:rPr>
          <w:rFonts w:ascii="Georgia" w:hAnsi="Georgia"/>
          <w:color w:val="000000"/>
        </w:rPr>
        <w:tab/>
      </w:r>
      <w:r w:rsidRPr="00284C86">
        <w:rPr>
          <w:rFonts w:ascii="Georgia" w:hAnsi="Georgia"/>
          <w:color w:val="000000"/>
        </w:rPr>
        <w:tab/>
      </w:r>
      <w:r w:rsidRPr="00284C86">
        <w:rPr>
          <w:rFonts w:ascii="Georgia" w:hAnsi="Georgia"/>
          <w:b/>
          <w:color w:val="000000"/>
        </w:rPr>
        <w:tab/>
      </w:r>
      <w:r w:rsidRPr="00284C86">
        <w:rPr>
          <w:rFonts w:ascii="Georgia" w:hAnsi="Georgia"/>
          <w:b/>
          <w:color w:val="000000"/>
        </w:rPr>
        <w:tab/>
      </w:r>
      <w:r w:rsidRPr="00284C86">
        <w:rPr>
          <w:rFonts w:ascii="Georgia" w:hAnsi="Georgia"/>
          <w:b/>
          <w:color w:val="000000"/>
        </w:rPr>
        <w:tab/>
      </w:r>
    </w:p>
    <w:p w:rsidR="00FA5834" w:rsidRPr="00284C86" w:rsidRDefault="00FA5834" w:rsidP="00FA5834">
      <w:pPr>
        <w:rPr>
          <w:rFonts w:ascii="Georgia" w:hAnsi="Georgia"/>
          <w:b/>
          <w:color w:val="000000"/>
        </w:rPr>
      </w:pPr>
      <w:r w:rsidRPr="00284C86">
        <w:rPr>
          <w:rFonts w:ascii="Georgia" w:hAnsi="Georgia"/>
          <w:b/>
          <w:color w:val="000000"/>
        </w:rPr>
        <w:tab/>
      </w:r>
      <w:r w:rsidRPr="00284C86">
        <w:rPr>
          <w:rFonts w:ascii="Georgia" w:hAnsi="Georgia"/>
          <w:b/>
          <w:color w:val="000000"/>
        </w:rPr>
        <w:tab/>
      </w:r>
      <w:r w:rsidRPr="00284C86">
        <w:rPr>
          <w:rFonts w:ascii="Georgia" w:hAnsi="Georgia"/>
          <w:b/>
          <w:color w:val="000000"/>
        </w:rPr>
        <w:tab/>
        <w:t xml:space="preserve">          Right to Know Requests </w:t>
      </w:r>
    </w:p>
    <w:p w:rsidR="00FA5834" w:rsidRPr="00284C86" w:rsidRDefault="00FA5834" w:rsidP="00FA5834">
      <w:pPr>
        <w:rPr>
          <w:rFonts w:ascii="Georgia" w:hAnsi="Georgia"/>
          <w:b/>
          <w:color w:val="000000"/>
        </w:rPr>
      </w:pPr>
    </w:p>
    <w:p w:rsidR="00FA5834" w:rsidRPr="00284C86" w:rsidRDefault="00FA5834" w:rsidP="00FA5834">
      <w:pPr>
        <w:rPr>
          <w:rFonts w:ascii="Georgia" w:hAnsi="Georgia"/>
          <w:color w:val="000000"/>
        </w:rPr>
      </w:pPr>
      <w:r w:rsidRPr="00284C86">
        <w:rPr>
          <w:rFonts w:ascii="Georgia" w:hAnsi="Georgia"/>
          <w:color w:val="222222"/>
        </w:rPr>
        <w:t>Open Records Officer</w:t>
      </w:r>
      <w:r w:rsidR="00A30067">
        <w:rPr>
          <w:rFonts w:ascii="Georgia" w:hAnsi="Georgia"/>
          <w:color w:val="222222"/>
        </w:rPr>
        <w:t>:</w:t>
      </w:r>
    </w:p>
    <w:p w:rsidR="00FA5834" w:rsidRPr="00284C86" w:rsidRDefault="00FA5834" w:rsidP="00FA5834">
      <w:pPr>
        <w:rPr>
          <w:rFonts w:ascii="Georgia" w:hAnsi="Georgia"/>
          <w:color w:val="000000"/>
        </w:rPr>
      </w:pPr>
    </w:p>
    <w:p w:rsidR="00FA5834" w:rsidRPr="00284C86" w:rsidRDefault="00FA5834" w:rsidP="00FA5834">
      <w:pPr>
        <w:rPr>
          <w:rFonts w:ascii="Georgia" w:hAnsi="Georgia"/>
          <w:color w:val="000000"/>
        </w:rPr>
      </w:pPr>
      <w:r w:rsidRPr="00284C86">
        <w:rPr>
          <w:rFonts w:ascii="Georgia" w:hAnsi="Georgia"/>
          <w:color w:val="000000"/>
        </w:rPr>
        <w:tab/>
        <w:t>Enclosed please find my Right-To-Know Law ("RTKL") requests numbered #1,  #2, #3 and #4 pursuant to the Pennsylvania Right-To-Know Law (“RTKL”), 65 P.S. §§ 67.101, et seq. Section 901 of the RTKL, 65 P.S.  § 67.901, provides that an agency must provide an initial response within five business days, or in this case by October 17, 2021.</w:t>
      </w:r>
    </w:p>
    <w:p w:rsidR="00FA5834" w:rsidRPr="00284C86" w:rsidRDefault="00FA5834" w:rsidP="00FA5834">
      <w:pPr>
        <w:rPr>
          <w:rFonts w:ascii="Georgia" w:hAnsi="Georgia"/>
          <w:color w:val="110000"/>
        </w:rPr>
      </w:pPr>
    </w:p>
    <w:p w:rsidR="00FA5834" w:rsidRPr="00284C86" w:rsidRDefault="00FA5834" w:rsidP="00FA5834">
      <w:pPr>
        <w:rPr>
          <w:rFonts w:ascii="Georgia" w:hAnsi="Georgia"/>
          <w:color w:val="110000"/>
        </w:rPr>
      </w:pPr>
      <w:r w:rsidRPr="00284C86">
        <w:rPr>
          <w:rFonts w:ascii="Georgia" w:hAnsi="Georgia"/>
          <w:color w:val="110000"/>
        </w:rPr>
        <w:tab/>
        <w:t xml:space="preserve">The Pennsylvania Public Utility Commission has five business days to respond in writing to: (1) grant the request; (2) deny the request, citing the legal basis for the denial or partial denial; or (3) invoke a thirty calendar day extension for certain reasons. </w:t>
      </w:r>
      <w:r w:rsidRPr="00284C86">
        <w:rPr>
          <w:rFonts w:ascii="Georgia" w:hAnsi="Georgia"/>
          <w:color w:val="000000"/>
        </w:rPr>
        <w:t>Thank you  in advance for you</w:t>
      </w:r>
      <w:r w:rsidR="00A30067">
        <w:rPr>
          <w:rFonts w:ascii="Georgia" w:hAnsi="Georgia"/>
          <w:color w:val="000000"/>
        </w:rPr>
        <w:t>r</w:t>
      </w:r>
      <w:r w:rsidRPr="00284C86">
        <w:rPr>
          <w:rFonts w:ascii="Georgia" w:hAnsi="Georgia"/>
          <w:color w:val="000000"/>
        </w:rPr>
        <w:t xml:space="preserve"> consideration on </w:t>
      </w:r>
      <w:r w:rsidR="00A30067">
        <w:rPr>
          <w:rFonts w:ascii="Georgia" w:hAnsi="Georgia"/>
          <w:color w:val="000000"/>
        </w:rPr>
        <w:t xml:space="preserve">these most important </w:t>
      </w:r>
      <w:r w:rsidRPr="00284C86">
        <w:rPr>
          <w:rFonts w:ascii="Georgia" w:hAnsi="Georgia"/>
          <w:color w:val="000000"/>
        </w:rPr>
        <w:t>matters.</w:t>
      </w:r>
    </w:p>
    <w:p w:rsidR="00FA5834" w:rsidRPr="00284C86" w:rsidRDefault="00FA5834" w:rsidP="00FA5834">
      <w:pPr>
        <w:rPr>
          <w:rFonts w:ascii="Georgia" w:hAnsi="Georgia"/>
          <w:color w:val="000000"/>
        </w:rPr>
      </w:pPr>
      <w:r w:rsidRPr="00284C86">
        <w:rPr>
          <w:rFonts w:ascii="Georgia" w:hAnsi="Georgia"/>
          <w:color w:val="110000"/>
        </w:rPr>
        <w:t xml:space="preserve"> </w:t>
      </w:r>
    </w:p>
    <w:p w:rsidR="00FA5834" w:rsidRPr="00284C86" w:rsidRDefault="00FA5834" w:rsidP="00FA5834">
      <w:pPr>
        <w:rPr>
          <w:rFonts w:ascii="Georgia" w:hAnsi="Georgia"/>
          <w:color w:val="000000"/>
        </w:rPr>
      </w:pPr>
      <w:r w:rsidRPr="00284C86">
        <w:rPr>
          <w:rFonts w:ascii="Georgia" w:hAnsi="Georgia"/>
          <w:color w:val="000000"/>
        </w:rPr>
        <w:t>Respectfully submitted,</w:t>
      </w:r>
    </w:p>
    <w:p w:rsidR="00FA5834" w:rsidRPr="00284C86" w:rsidRDefault="00FA5834" w:rsidP="00FA5834">
      <w:pPr>
        <w:rPr>
          <w:rFonts w:ascii="Georgia" w:hAnsi="Georgia"/>
          <w:color w:val="000000"/>
        </w:rPr>
      </w:pPr>
    </w:p>
    <w:p w:rsidR="00FA5834" w:rsidRPr="00284C86" w:rsidRDefault="00FA5834" w:rsidP="00FA5834">
      <w:pPr>
        <w:rPr>
          <w:rFonts w:ascii="Georgia" w:hAnsi="Georgia"/>
          <w:color w:val="000000"/>
        </w:rPr>
      </w:pPr>
      <w:r w:rsidRPr="00284C86">
        <w:rPr>
          <w:rFonts w:ascii="Georgia" w:hAnsi="Georgia"/>
          <w:color w:val="000000"/>
        </w:rPr>
        <w:t xml:space="preserve">  </w:t>
      </w:r>
    </w:p>
    <w:p w:rsidR="00FA5834" w:rsidRDefault="00FA5834" w:rsidP="00FA5834">
      <w:pPr>
        <w:rPr>
          <w:rFonts w:ascii="Georgia" w:hAnsi="Georgia"/>
          <w:color w:val="000000"/>
        </w:rPr>
      </w:pPr>
      <w:r w:rsidRPr="00284C86">
        <w:rPr>
          <w:rFonts w:ascii="Georgia" w:hAnsi="Georgia"/>
          <w:color w:val="000000"/>
        </w:rPr>
        <w:t>Eric Epstein</w:t>
      </w:r>
    </w:p>
    <w:p w:rsidR="00FA5834" w:rsidRDefault="00FA5834" w:rsidP="00FA5834">
      <w:pPr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4100 Hillsdale Road</w:t>
      </w:r>
    </w:p>
    <w:p w:rsidR="00FA5834" w:rsidRPr="00284C86" w:rsidRDefault="00FA5834" w:rsidP="00FA5834">
      <w:pPr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Harrisburg, PA 17112</w:t>
      </w:r>
    </w:p>
    <w:p w:rsidR="00FA5834" w:rsidRPr="00284C86" w:rsidRDefault="00FA5834" w:rsidP="00FA5834">
      <w:pPr>
        <w:rPr>
          <w:rFonts w:ascii="Georgia" w:hAnsi="Georgia"/>
          <w:color w:val="000000"/>
        </w:rPr>
      </w:pPr>
      <w:r w:rsidRPr="00284C86">
        <w:rPr>
          <w:rFonts w:ascii="Georgia" w:hAnsi="Georgia"/>
          <w:color w:val="000000"/>
        </w:rPr>
        <w:t xml:space="preserve"> </w:t>
      </w:r>
    </w:p>
    <w:p w:rsidR="00FA5834" w:rsidRPr="00284C86" w:rsidRDefault="00FA5834" w:rsidP="00FA5834">
      <w:pPr>
        <w:rPr>
          <w:rFonts w:ascii="Georgia" w:hAnsi="Georgia"/>
          <w:color w:val="000000"/>
        </w:rPr>
      </w:pPr>
    </w:p>
    <w:p w:rsidR="00FA5834" w:rsidRPr="00284C86" w:rsidRDefault="00FA5834" w:rsidP="00FA5834">
      <w:pPr>
        <w:rPr>
          <w:rFonts w:ascii="Georgia" w:hAnsi="Georgia"/>
          <w:color w:val="110000"/>
        </w:rPr>
      </w:pPr>
      <w:r w:rsidRPr="00284C86">
        <w:rPr>
          <w:rFonts w:ascii="Georgia" w:hAnsi="Georgia"/>
          <w:color w:val="110000"/>
        </w:rPr>
        <w:t>cc:</w:t>
      </w:r>
    </w:p>
    <w:p w:rsidR="00FA5834" w:rsidRPr="00284C86" w:rsidRDefault="00FA5834" w:rsidP="00FA5834">
      <w:pPr>
        <w:rPr>
          <w:rFonts w:ascii="Georgia" w:hAnsi="Georgia"/>
          <w:color w:val="000000"/>
        </w:rPr>
      </w:pPr>
      <w:r w:rsidRPr="00284C86">
        <w:rPr>
          <w:rFonts w:ascii="Georgia" w:hAnsi="Georgia"/>
          <w:color w:val="110000"/>
        </w:rPr>
        <w:t>Renardo Hicks, Chief Counsel</w:t>
      </w:r>
      <w:r w:rsidRPr="00284C86">
        <w:rPr>
          <w:rFonts w:ascii="Georgia" w:hAnsi="Georgia"/>
          <w:color w:val="000000"/>
        </w:rPr>
        <w:t xml:space="preserve"> </w:t>
      </w:r>
    </w:p>
    <w:p w:rsidR="00FA5834" w:rsidRPr="00284C86" w:rsidRDefault="00FA5834" w:rsidP="00FA5834">
      <w:pPr>
        <w:rPr>
          <w:rFonts w:ascii="Georgia" w:hAnsi="Georgia"/>
          <w:color w:val="110000"/>
        </w:rPr>
      </w:pPr>
      <w:r w:rsidRPr="00284C86">
        <w:rPr>
          <w:rFonts w:ascii="Georgia" w:hAnsi="Georgia"/>
          <w:color w:val="110000"/>
        </w:rPr>
        <w:t>Seth A. Mendelsohn,</w:t>
      </w:r>
      <w:r w:rsidRPr="00284C86">
        <w:rPr>
          <w:rFonts w:ascii="Georgia" w:hAnsi="Georgia"/>
          <w:color w:val="003399"/>
        </w:rPr>
        <w:t xml:space="preserve"> </w:t>
      </w:r>
      <w:r w:rsidRPr="00284C86">
        <w:rPr>
          <w:rFonts w:ascii="Georgia" w:hAnsi="Georgia"/>
          <w:color w:val="110000"/>
        </w:rPr>
        <w:t>Executive Director</w:t>
      </w:r>
    </w:p>
    <w:p w:rsidR="00FA5834" w:rsidRPr="00284C86" w:rsidRDefault="00FA5834" w:rsidP="00FA5834">
      <w:pPr>
        <w:rPr>
          <w:rFonts w:ascii="Georgia" w:hAnsi="Georgia"/>
          <w:color w:val="110000"/>
        </w:rPr>
      </w:pPr>
    </w:p>
    <w:p w:rsidR="00FA5834" w:rsidRDefault="00FA5834" w:rsidP="00FA5834">
      <w:pPr>
        <w:rPr>
          <w:rFonts w:ascii="Georgia" w:hAnsi="Georgia"/>
          <w:color w:val="110000"/>
        </w:rPr>
      </w:pPr>
      <w:r w:rsidRPr="00284C86">
        <w:rPr>
          <w:rFonts w:ascii="Georgia" w:hAnsi="Georgia"/>
          <w:color w:val="110000"/>
        </w:rPr>
        <w:t>Enclosure: Exhibit, A.</w:t>
      </w:r>
    </w:p>
    <w:p w:rsidR="00FA5834" w:rsidRDefault="00FA5834" w:rsidP="00FA5834">
      <w:pPr>
        <w:rPr>
          <w:rFonts w:ascii="Georgia" w:hAnsi="Georgia"/>
          <w:color w:val="110000"/>
        </w:rPr>
      </w:pPr>
    </w:p>
    <w:p w:rsidR="00FA5834" w:rsidRDefault="00FA5834" w:rsidP="00FA5834">
      <w:pPr>
        <w:rPr>
          <w:rFonts w:ascii="Georgia" w:hAnsi="Georgia"/>
          <w:color w:val="110000"/>
        </w:rPr>
      </w:pPr>
    </w:p>
    <w:p w:rsidR="00FA5834" w:rsidRDefault="00FA5834" w:rsidP="00FA5834">
      <w:pPr>
        <w:rPr>
          <w:rFonts w:ascii="Georgia" w:hAnsi="Georgia"/>
          <w:color w:val="110000"/>
        </w:rPr>
      </w:pPr>
    </w:p>
    <w:p w:rsidR="00FA5834" w:rsidRDefault="00FA5834" w:rsidP="00FA5834">
      <w:pPr>
        <w:rPr>
          <w:rFonts w:ascii="Georgia" w:hAnsi="Georgia"/>
          <w:color w:val="110000"/>
        </w:rPr>
      </w:pPr>
    </w:p>
    <w:p w:rsidR="00FA5834" w:rsidRDefault="00FA5834" w:rsidP="00FA5834">
      <w:pPr>
        <w:rPr>
          <w:rFonts w:ascii="Georgia" w:hAnsi="Georgia"/>
          <w:color w:val="110000"/>
        </w:rPr>
      </w:pPr>
    </w:p>
    <w:p w:rsidR="00FA5834" w:rsidRDefault="00FA5834" w:rsidP="00FA5834">
      <w:pPr>
        <w:rPr>
          <w:rFonts w:ascii="Georgia" w:hAnsi="Georgia"/>
          <w:color w:val="110000"/>
        </w:rPr>
      </w:pPr>
    </w:p>
    <w:p w:rsidR="00FA5834" w:rsidRDefault="00FA5834" w:rsidP="00FA5834">
      <w:pPr>
        <w:rPr>
          <w:rFonts w:ascii="Georgia" w:hAnsi="Georgia"/>
          <w:color w:val="110000"/>
        </w:rPr>
      </w:pPr>
    </w:p>
    <w:p w:rsidR="00FA5834" w:rsidRDefault="00FA5834" w:rsidP="00FA5834">
      <w:pPr>
        <w:rPr>
          <w:rFonts w:ascii="Georgia" w:hAnsi="Georgia"/>
          <w:color w:val="110000"/>
        </w:rPr>
      </w:pPr>
    </w:p>
    <w:p w:rsidR="00FA5834" w:rsidRDefault="00FA5834" w:rsidP="00FA5834">
      <w:pPr>
        <w:rPr>
          <w:rFonts w:ascii="Georgia" w:hAnsi="Georgia"/>
          <w:color w:val="110000"/>
        </w:rPr>
      </w:pPr>
    </w:p>
    <w:p w:rsidR="00FA5834" w:rsidRDefault="00FA5834" w:rsidP="00FA5834">
      <w:pPr>
        <w:rPr>
          <w:rFonts w:ascii="Georgia" w:hAnsi="Georgia"/>
          <w:color w:val="110000"/>
        </w:rPr>
      </w:pPr>
    </w:p>
    <w:p w:rsidR="00FA5834" w:rsidRDefault="00FA5834" w:rsidP="00FA5834">
      <w:pPr>
        <w:rPr>
          <w:rFonts w:ascii="Georgia" w:hAnsi="Georgia"/>
          <w:color w:val="110000"/>
        </w:rPr>
      </w:pPr>
    </w:p>
    <w:p w:rsidR="00FA5834" w:rsidRDefault="00FA5834" w:rsidP="00FA5834">
      <w:pPr>
        <w:rPr>
          <w:rFonts w:ascii="Georgia" w:hAnsi="Georgia"/>
          <w:color w:val="110000"/>
        </w:rPr>
      </w:pPr>
    </w:p>
    <w:p w:rsidR="00FA5834" w:rsidRDefault="00FA5834" w:rsidP="00FA5834">
      <w:pPr>
        <w:rPr>
          <w:rFonts w:ascii="Georgia" w:hAnsi="Georgia"/>
          <w:color w:val="110000"/>
        </w:rPr>
      </w:pPr>
    </w:p>
    <w:p w:rsidR="00FA5834" w:rsidRPr="00284C86" w:rsidRDefault="00FA5834" w:rsidP="00FA5834">
      <w:pPr>
        <w:rPr>
          <w:rFonts w:ascii="Georgia" w:hAnsi="Georgia"/>
          <w:color w:val="003399"/>
        </w:rPr>
      </w:pPr>
    </w:p>
    <w:p w:rsidR="00FA5834" w:rsidRPr="00284C86" w:rsidRDefault="00FA5834" w:rsidP="00FA5834">
      <w:pPr>
        <w:rPr>
          <w:rFonts w:ascii="Georgia" w:hAnsi="Georgia"/>
          <w:color w:val="000000"/>
        </w:rPr>
      </w:pPr>
    </w:p>
    <w:p w:rsidR="00FA5834" w:rsidRPr="00284C86" w:rsidRDefault="00FA5834" w:rsidP="00FA5834">
      <w:pPr>
        <w:rPr>
          <w:rFonts w:ascii="Georgia" w:hAnsi="Georgia"/>
          <w:b/>
          <w:color w:val="222222"/>
        </w:rPr>
      </w:pPr>
      <w:r w:rsidRPr="00284C86">
        <w:rPr>
          <w:rFonts w:ascii="Georgia" w:hAnsi="Georgia"/>
          <w:color w:val="000000"/>
        </w:rPr>
        <w:tab/>
      </w:r>
      <w:r w:rsidRPr="00284C86">
        <w:rPr>
          <w:rFonts w:ascii="Georgia" w:hAnsi="Georgia"/>
          <w:color w:val="000000"/>
        </w:rPr>
        <w:tab/>
      </w:r>
      <w:r w:rsidRPr="00284C86">
        <w:rPr>
          <w:rFonts w:ascii="Georgia" w:hAnsi="Georgia"/>
          <w:color w:val="000000"/>
        </w:rPr>
        <w:tab/>
      </w:r>
      <w:r w:rsidRPr="00284C86">
        <w:rPr>
          <w:rFonts w:ascii="Georgia" w:hAnsi="Georgia"/>
          <w:color w:val="000000"/>
        </w:rPr>
        <w:tab/>
      </w:r>
      <w:r w:rsidRPr="00284C86">
        <w:rPr>
          <w:rFonts w:ascii="Georgia" w:hAnsi="Georgia"/>
          <w:color w:val="000000"/>
        </w:rPr>
        <w:tab/>
      </w:r>
      <w:r>
        <w:rPr>
          <w:rFonts w:ascii="Georgia" w:hAnsi="Georgia"/>
          <w:color w:val="000000"/>
        </w:rPr>
        <w:t xml:space="preserve">    </w:t>
      </w:r>
      <w:r>
        <w:rPr>
          <w:rFonts w:ascii="Georgia" w:hAnsi="Georgia"/>
          <w:b/>
          <w:color w:val="222222"/>
        </w:rPr>
        <w:t>Background:</w:t>
      </w:r>
    </w:p>
    <w:p w:rsidR="00FA5834" w:rsidRPr="00284C86" w:rsidRDefault="00FA5834" w:rsidP="00FA5834">
      <w:pPr>
        <w:rPr>
          <w:rFonts w:ascii="Georgia" w:hAnsi="Georgia"/>
          <w:b/>
          <w:color w:val="000000"/>
        </w:rPr>
      </w:pPr>
      <w:r w:rsidRPr="00284C86">
        <w:rPr>
          <w:rFonts w:ascii="Georgia" w:hAnsi="Georgia"/>
          <w:b/>
          <w:color w:val="222222"/>
        </w:rPr>
        <w:t xml:space="preserve">  </w:t>
      </w:r>
    </w:p>
    <w:p w:rsidR="00FA5834" w:rsidRPr="00284C86" w:rsidRDefault="00FA5834" w:rsidP="00FA5834">
      <w:pPr>
        <w:rPr>
          <w:rFonts w:ascii="Georgia" w:hAnsi="Georgia"/>
          <w:b/>
          <w:color w:val="005500"/>
        </w:rPr>
      </w:pPr>
      <w:r w:rsidRPr="00284C86">
        <w:rPr>
          <w:rFonts w:ascii="Georgia" w:hAnsi="Georgia"/>
          <w:b/>
          <w:color w:val="000000"/>
        </w:rPr>
        <w:t xml:space="preserve">   </w:t>
      </w:r>
      <w:r w:rsidRPr="00284C86">
        <w:rPr>
          <w:rFonts w:ascii="Georgia" w:hAnsi="Georgia"/>
          <w:b/>
          <w:color w:val="005500"/>
        </w:rPr>
        <w:tab/>
      </w:r>
      <w:r w:rsidRPr="00284C86">
        <w:rPr>
          <w:rFonts w:ascii="Georgia" w:hAnsi="Georgia"/>
          <w:b/>
          <w:color w:val="005500"/>
        </w:rPr>
        <w:tab/>
      </w:r>
      <w:r w:rsidRPr="00284C86">
        <w:rPr>
          <w:rFonts w:ascii="Georgia" w:hAnsi="Georgia"/>
          <w:b/>
          <w:color w:val="005500"/>
        </w:rPr>
        <w:tab/>
      </w:r>
      <w:r w:rsidRPr="00284C86">
        <w:rPr>
          <w:rFonts w:ascii="Georgia" w:hAnsi="Georgia"/>
          <w:b/>
          <w:color w:val="005500"/>
        </w:rPr>
        <w:tab/>
      </w:r>
      <w:r w:rsidRPr="00284C86">
        <w:rPr>
          <w:rFonts w:ascii="Georgia" w:hAnsi="Georgia"/>
          <w:b/>
          <w:color w:val="005500"/>
        </w:rPr>
        <w:tab/>
        <w:t xml:space="preserve"> </w:t>
      </w:r>
    </w:p>
    <w:p w:rsidR="00FA5834" w:rsidRPr="00284C86" w:rsidRDefault="00FA5834" w:rsidP="00FA5834">
      <w:pPr>
        <w:rPr>
          <w:rFonts w:ascii="Georgia" w:hAnsi="Georgia"/>
          <w:b/>
          <w:color w:val="000000"/>
        </w:rPr>
      </w:pPr>
      <w:r w:rsidRPr="00284C86">
        <w:rPr>
          <w:rFonts w:ascii="Georgia" w:hAnsi="Georgia"/>
          <w:b/>
          <w:color w:val="000000"/>
        </w:rPr>
        <w:t>Re: Notification Regarding the Transfer of Exelon Generation Company, LLC, dated March 26, 2021. (Attachment)</w:t>
      </w:r>
    </w:p>
    <w:p w:rsidR="00FA5834" w:rsidRPr="00284C86" w:rsidRDefault="00FA5834" w:rsidP="00FA5834">
      <w:pPr>
        <w:rPr>
          <w:rFonts w:ascii="Georgia" w:hAnsi="Georgia"/>
          <w:color w:val="000000"/>
        </w:rPr>
      </w:pPr>
    </w:p>
    <w:p w:rsidR="00FA5834" w:rsidRPr="00284C86" w:rsidRDefault="00FA5834" w:rsidP="00FA5834">
      <w:pPr>
        <w:rPr>
          <w:rFonts w:ascii="Georgia" w:hAnsi="Georgia"/>
          <w:b/>
          <w:color w:val="000000"/>
        </w:rPr>
      </w:pPr>
    </w:p>
    <w:p w:rsidR="00FA5834" w:rsidRPr="00284C86" w:rsidRDefault="00FA5834" w:rsidP="00FA5834">
      <w:pPr>
        <w:rPr>
          <w:rFonts w:ascii="Georgia" w:hAnsi="Georgia"/>
          <w:b/>
          <w:color w:val="000000"/>
        </w:rPr>
      </w:pPr>
      <w:r w:rsidRPr="00284C86">
        <w:rPr>
          <w:rFonts w:ascii="Georgia" w:hAnsi="Georgia"/>
          <w:b/>
          <w:color w:val="000000"/>
        </w:rPr>
        <w:t>Right to Know Request, #1:</w:t>
      </w:r>
    </w:p>
    <w:p w:rsidR="00FA5834" w:rsidRPr="00284C86" w:rsidRDefault="00FA5834" w:rsidP="00FA5834">
      <w:pPr>
        <w:rPr>
          <w:rFonts w:ascii="Georgia" w:hAnsi="Georgia"/>
          <w:color w:val="110000"/>
        </w:rPr>
      </w:pPr>
    </w:p>
    <w:p w:rsidR="00FA5834" w:rsidRPr="00284C86" w:rsidRDefault="00FA5834" w:rsidP="00FA5834">
      <w:pPr>
        <w:rPr>
          <w:rFonts w:ascii="Georgia" w:hAnsi="Georgia"/>
          <w:color w:val="110000"/>
        </w:rPr>
      </w:pPr>
      <w:r w:rsidRPr="00284C86">
        <w:rPr>
          <w:rFonts w:ascii="Georgia" w:hAnsi="Georgia"/>
          <w:color w:val="110000"/>
        </w:rPr>
        <w:tab/>
        <w:t>Please provide all correspondence, records, requests, e-mails and communications, including notes of communications, legal opinions and work notes between the Pennsylvania Public Utilities (“PUC”) Commission and/o</w:t>
      </w:r>
      <w:r w:rsidR="00370FF4">
        <w:rPr>
          <w:rFonts w:ascii="Georgia" w:hAnsi="Georgia"/>
          <w:color w:val="110000"/>
        </w:rPr>
        <w:t xml:space="preserve">r representatives from the PUC </w:t>
      </w:r>
      <w:r w:rsidRPr="00284C86">
        <w:rPr>
          <w:rFonts w:ascii="Georgia" w:hAnsi="Georgia"/>
          <w:color w:val="110000"/>
        </w:rPr>
        <w:t>and/or any of their representatives, and PECO, Exelon or Spin Co</w:t>
      </w:r>
      <w:r w:rsidR="002C329C">
        <w:rPr>
          <w:rFonts w:ascii="Georgia" w:hAnsi="Georgia"/>
          <w:color w:val="110000"/>
        </w:rPr>
        <w:t xml:space="preserve"> </w:t>
      </w:r>
      <w:r w:rsidRPr="00284C86">
        <w:rPr>
          <w:rFonts w:ascii="Georgia" w:hAnsi="Georgia"/>
          <w:color w:val="000000"/>
        </w:rPr>
        <w:t>regarding the Spin transaction identified in the enclosed Exhibit A.</w:t>
      </w:r>
    </w:p>
    <w:p w:rsidR="00FA5834" w:rsidRPr="00284C86" w:rsidRDefault="00FA5834" w:rsidP="00FA5834">
      <w:pPr>
        <w:rPr>
          <w:rFonts w:ascii="Georgia" w:hAnsi="Georgia"/>
          <w:color w:val="110000"/>
        </w:rPr>
      </w:pPr>
    </w:p>
    <w:p w:rsidR="00FA5834" w:rsidRPr="00284C86" w:rsidRDefault="00FA5834" w:rsidP="00FA5834">
      <w:pPr>
        <w:rPr>
          <w:rFonts w:ascii="Georgia" w:hAnsi="Georgia"/>
          <w:b/>
          <w:color w:val="110000"/>
        </w:rPr>
      </w:pPr>
      <w:r w:rsidRPr="00284C86">
        <w:rPr>
          <w:rFonts w:ascii="Georgia" w:hAnsi="Georgia"/>
          <w:b/>
          <w:color w:val="110000"/>
        </w:rPr>
        <w:t>Right to Know Request, #2:</w:t>
      </w:r>
    </w:p>
    <w:p w:rsidR="00FA5834" w:rsidRPr="00284C86" w:rsidRDefault="00FA5834" w:rsidP="00FA5834">
      <w:pPr>
        <w:rPr>
          <w:rFonts w:ascii="Georgia" w:hAnsi="Georgia"/>
          <w:color w:val="110000"/>
        </w:rPr>
      </w:pPr>
    </w:p>
    <w:p w:rsidR="00FA5834" w:rsidRPr="00284C86" w:rsidRDefault="00FA5834" w:rsidP="00FA5834">
      <w:pPr>
        <w:rPr>
          <w:rFonts w:ascii="Georgia" w:hAnsi="Georgia"/>
          <w:color w:val="110000"/>
        </w:rPr>
      </w:pPr>
      <w:r w:rsidRPr="00284C86">
        <w:rPr>
          <w:rFonts w:ascii="Georgia" w:hAnsi="Georgia"/>
          <w:color w:val="110000"/>
        </w:rPr>
        <w:tab/>
        <w:t>Please provide all correspondence, records, requests, e-mails and communications, including notes of communications, legal o</w:t>
      </w:r>
      <w:r w:rsidR="002C329C">
        <w:rPr>
          <w:rFonts w:ascii="Georgia" w:hAnsi="Georgia"/>
          <w:color w:val="110000"/>
        </w:rPr>
        <w:t xml:space="preserve">pinions and work notes between </w:t>
      </w:r>
      <w:r w:rsidRPr="00284C86">
        <w:rPr>
          <w:rFonts w:ascii="Georgia" w:hAnsi="Georgia"/>
          <w:color w:val="110000"/>
        </w:rPr>
        <w:t>Pennsylvania Public Utilities Commission and/or representatives from the Department of Env</w:t>
      </w:r>
      <w:r w:rsidR="00370FF4">
        <w:rPr>
          <w:rFonts w:ascii="Georgia" w:hAnsi="Georgia"/>
          <w:color w:val="110000"/>
        </w:rPr>
        <w:t>ironmental Protection, the F</w:t>
      </w:r>
      <w:r w:rsidRPr="00284C86">
        <w:rPr>
          <w:rFonts w:ascii="Georgia" w:hAnsi="Georgia"/>
          <w:color w:val="110000"/>
        </w:rPr>
        <w:t>ederal Energy Regulatory Commission, the Nuclear Regulatory Commission, the Susquehanna River Basin Commission, and the U.S. Army Corps of Engineers regarding the Spin transaction identified in t</w:t>
      </w:r>
      <w:r w:rsidRPr="00284C86">
        <w:rPr>
          <w:rFonts w:ascii="Georgia" w:hAnsi="Georgia"/>
          <w:color w:val="000000"/>
        </w:rPr>
        <w:t>he enclosed Exhibit, A.</w:t>
      </w:r>
    </w:p>
    <w:p w:rsidR="00FA5834" w:rsidRPr="00284C86" w:rsidRDefault="00FA5834" w:rsidP="00FA5834">
      <w:pPr>
        <w:rPr>
          <w:rFonts w:ascii="Georgia" w:hAnsi="Georgia"/>
          <w:color w:val="110000"/>
        </w:rPr>
      </w:pPr>
    </w:p>
    <w:p w:rsidR="00FA5834" w:rsidRPr="00284C86" w:rsidRDefault="00FA5834" w:rsidP="00FA5834">
      <w:pPr>
        <w:rPr>
          <w:rFonts w:ascii="Georgia" w:hAnsi="Georgia"/>
          <w:color w:val="110000"/>
        </w:rPr>
      </w:pPr>
      <w:r>
        <w:rPr>
          <w:rFonts w:ascii="Georgia" w:hAnsi="Georgia"/>
          <w:color w:val="110000"/>
        </w:rPr>
        <w:t xml:space="preserve"> </w:t>
      </w:r>
    </w:p>
    <w:p w:rsidR="00FA5834" w:rsidRPr="00284C86" w:rsidRDefault="00FA5834" w:rsidP="00FA5834">
      <w:pPr>
        <w:rPr>
          <w:rFonts w:ascii="Georgia" w:hAnsi="Georgia"/>
          <w:b/>
          <w:color w:val="000000"/>
        </w:rPr>
      </w:pPr>
      <w:r w:rsidRPr="00284C86">
        <w:rPr>
          <w:rFonts w:ascii="Georgia" w:hAnsi="Georgia"/>
          <w:b/>
          <w:color w:val="000000"/>
        </w:rPr>
        <w:t>Right to Know Request, #3:</w:t>
      </w:r>
    </w:p>
    <w:p w:rsidR="00FA5834" w:rsidRPr="00284C86" w:rsidRDefault="00FA5834" w:rsidP="00FA5834">
      <w:pPr>
        <w:rPr>
          <w:rFonts w:ascii="Georgia" w:hAnsi="Georgia"/>
          <w:color w:val="000000"/>
        </w:rPr>
      </w:pPr>
    </w:p>
    <w:p w:rsidR="002C329C" w:rsidRPr="00284C86" w:rsidRDefault="00FA5834" w:rsidP="002C329C">
      <w:pPr>
        <w:rPr>
          <w:rFonts w:ascii="Georgia" w:hAnsi="Georgia"/>
          <w:color w:val="000000"/>
        </w:rPr>
      </w:pPr>
      <w:r w:rsidRPr="00284C86">
        <w:rPr>
          <w:rFonts w:ascii="Georgia" w:hAnsi="Georgia"/>
          <w:color w:val="000000"/>
        </w:rPr>
        <w:tab/>
        <w:t xml:space="preserve">The Notification appears to be silent on </w:t>
      </w:r>
      <w:r w:rsidR="002C329C">
        <w:rPr>
          <w:rFonts w:ascii="Georgia" w:hAnsi="Georgia"/>
          <w:color w:val="000000"/>
        </w:rPr>
        <w:t xml:space="preserve">parental </w:t>
      </w:r>
      <w:r w:rsidR="002C329C" w:rsidRPr="00284C86">
        <w:rPr>
          <w:rFonts w:ascii="Georgia" w:hAnsi="Georgia"/>
          <w:color w:val="000000"/>
        </w:rPr>
        <w:t>guarantees for decommissioning costs and offers no additional bonding, guarantees or sureties from the  "new ultimate parent company." "Co</w:t>
      </w:r>
      <w:r w:rsidR="002C329C">
        <w:rPr>
          <w:rFonts w:ascii="Georgia" w:hAnsi="Georgia"/>
          <w:color w:val="000000"/>
        </w:rPr>
        <w:t xml:space="preserve">ntrol", unless stated elsewhere </w:t>
      </w:r>
      <w:r w:rsidR="002C329C" w:rsidRPr="00284C86">
        <w:rPr>
          <w:rFonts w:ascii="Georgia" w:hAnsi="Georgia"/>
          <w:color w:val="000000"/>
        </w:rPr>
        <w:t>appears to be a statement that "liability" remains with PECO or Exelon.</w:t>
      </w:r>
    </w:p>
    <w:p w:rsidR="002C329C" w:rsidRPr="00284C86" w:rsidRDefault="002C329C" w:rsidP="002C329C">
      <w:pPr>
        <w:rPr>
          <w:rFonts w:ascii="Georgia" w:hAnsi="Georgia"/>
          <w:color w:val="000000"/>
        </w:rPr>
      </w:pPr>
    </w:p>
    <w:p w:rsidR="002C329C" w:rsidRPr="00284C86" w:rsidRDefault="002C329C" w:rsidP="002C329C">
      <w:pPr>
        <w:rPr>
          <w:rFonts w:ascii="Georgia" w:hAnsi="Georgia"/>
          <w:color w:val="000000"/>
        </w:rPr>
      </w:pPr>
      <w:r w:rsidRPr="00284C86">
        <w:rPr>
          <w:rFonts w:ascii="Georgia" w:hAnsi="Georgia"/>
          <w:color w:val="000000"/>
        </w:rPr>
        <w:tab/>
      </w:r>
      <w:r w:rsidRPr="00284C86">
        <w:rPr>
          <w:rFonts w:ascii="Georgia" w:hAnsi="Georgia"/>
          <w:color w:val="000000"/>
        </w:rPr>
        <w:tab/>
        <w:t xml:space="preserve"> Commission approval is also required prior to transactions</w:t>
      </w:r>
    </w:p>
    <w:p w:rsidR="002C329C" w:rsidRPr="00284C86" w:rsidRDefault="002C329C" w:rsidP="002C329C">
      <w:pPr>
        <w:rPr>
          <w:rFonts w:ascii="Georgia" w:hAnsi="Georgia"/>
          <w:color w:val="000000"/>
        </w:rPr>
      </w:pPr>
      <w:r w:rsidRPr="00284C86">
        <w:rPr>
          <w:rFonts w:ascii="Georgia" w:hAnsi="Georgia"/>
          <w:color w:val="000000"/>
        </w:rPr>
        <w:tab/>
      </w:r>
      <w:r w:rsidRPr="00284C86">
        <w:rPr>
          <w:rFonts w:ascii="Georgia" w:hAnsi="Georgia"/>
          <w:color w:val="000000"/>
        </w:rPr>
        <w:tab/>
        <w:t xml:space="preserve"> involving a 'change in control' of a Pennsylvania utility or</w:t>
      </w:r>
    </w:p>
    <w:p w:rsidR="002C329C" w:rsidRPr="00284C86" w:rsidRDefault="002C329C" w:rsidP="002C329C">
      <w:pPr>
        <w:rPr>
          <w:rFonts w:ascii="Georgia" w:hAnsi="Georgia"/>
          <w:color w:val="000000"/>
        </w:rPr>
      </w:pPr>
      <w:r w:rsidRPr="00284C86">
        <w:rPr>
          <w:rFonts w:ascii="Georgia" w:hAnsi="Georgia"/>
          <w:color w:val="000000"/>
        </w:rPr>
        <w:tab/>
      </w:r>
      <w:r w:rsidRPr="00284C86">
        <w:rPr>
          <w:rFonts w:ascii="Georgia" w:hAnsi="Georgia"/>
          <w:color w:val="000000"/>
        </w:rPr>
        <w:tab/>
        <w:t> its parent. (6) As noted above, there will be no change in </w:t>
      </w:r>
    </w:p>
    <w:p w:rsidR="002C329C" w:rsidRPr="00284C86" w:rsidRDefault="002C329C" w:rsidP="002C329C">
      <w:pPr>
        <w:rPr>
          <w:rFonts w:ascii="Georgia" w:hAnsi="Georgia"/>
          <w:color w:val="000000"/>
        </w:rPr>
      </w:pPr>
      <w:r w:rsidRPr="00284C86">
        <w:rPr>
          <w:rFonts w:ascii="Georgia" w:hAnsi="Georgia"/>
          <w:color w:val="000000"/>
        </w:rPr>
        <w:tab/>
      </w:r>
      <w:r w:rsidRPr="00284C86">
        <w:rPr>
          <w:rFonts w:ascii="Georgia" w:hAnsi="Georgia"/>
          <w:color w:val="000000"/>
        </w:rPr>
        <w:tab/>
        <w:t xml:space="preserve"> ownership or control of Exelon or  PECO, PECO is not </w:t>
      </w:r>
    </w:p>
    <w:p w:rsidR="002C329C" w:rsidRPr="00284C86" w:rsidRDefault="002C329C" w:rsidP="002C329C">
      <w:pPr>
        <w:rPr>
          <w:rFonts w:ascii="Georgia" w:hAnsi="Georgia"/>
          <w:color w:val="000000"/>
        </w:rPr>
      </w:pPr>
      <w:r w:rsidRPr="00284C86">
        <w:rPr>
          <w:rFonts w:ascii="Georgia" w:hAnsi="Georgia"/>
          <w:color w:val="000000"/>
        </w:rPr>
        <w:tab/>
      </w:r>
      <w:r w:rsidRPr="00284C86">
        <w:rPr>
          <w:rFonts w:ascii="Georgia" w:hAnsi="Georgia"/>
          <w:color w:val="000000"/>
        </w:rPr>
        <w:tab/>
        <w:t xml:space="preserve"> merging with any other entity, and no utility property </w:t>
      </w:r>
    </w:p>
    <w:p w:rsidR="002C329C" w:rsidRPr="00284C86" w:rsidRDefault="002C329C" w:rsidP="002C329C">
      <w:pPr>
        <w:rPr>
          <w:rFonts w:ascii="Georgia" w:hAnsi="Georgia"/>
          <w:color w:val="000000"/>
        </w:rPr>
      </w:pPr>
      <w:r w:rsidRPr="00284C86">
        <w:rPr>
          <w:rFonts w:ascii="Georgia" w:hAnsi="Georgia"/>
          <w:color w:val="000000"/>
        </w:rPr>
        <w:tab/>
      </w:r>
      <w:r w:rsidRPr="00284C86">
        <w:rPr>
          <w:rFonts w:ascii="Georgia" w:hAnsi="Georgia"/>
          <w:color w:val="000000"/>
        </w:rPr>
        <w:tab/>
        <w:t xml:space="preserve"> will be transferred.</w:t>
      </w:r>
    </w:p>
    <w:p w:rsidR="002C329C" w:rsidRPr="00284C86" w:rsidRDefault="002C329C" w:rsidP="002C329C">
      <w:pPr>
        <w:rPr>
          <w:rFonts w:ascii="Georgia" w:hAnsi="Georgia"/>
          <w:color w:val="000000"/>
        </w:rPr>
      </w:pPr>
    </w:p>
    <w:p w:rsidR="002C329C" w:rsidRPr="00284C86" w:rsidRDefault="002C329C" w:rsidP="002C329C">
      <w:pPr>
        <w:rPr>
          <w:rFonts w:ascii="Georgia" w:hAnsi="Georgia"/>
          <w:color w:val="110000"/>
        </w:rPr>
      </w:pPr>
      <w:r w:rsidRPr="00284C86">
        <w:rPr>
          <w:rFonts w:ascii="Georgia" w:hAnsi="Georgia"/>
          <w:color w:val="110000"/>
        </w:rPr>
        <w:tab/>
        <w:t xml:space="preserve">Please provide all external and internal records, requests, e-mails and communications, including notes of communications, legal opinions and work notes among and between the Pennsylvania Public Utilities Commission and/or representatives from the the  Bureau of Investigation and Enforcement (“BI&amp;E”), Law Bureau, Office of Executive Director and/or any of their representatives, and PECO, Exelon or Spin Co </w:t>
      </w:r>
      <w:r w:rsidRPr="00284C86">
        <w:rPr>
          <w:rFonts w:ascii="Georgia" w:hAnsi="Georgia"/>
          <w:color w:val="000000"/>
        </w:rPr>
        <w:t xml:space="preserve"> regarding the Spin transaction identified in the enclosed </w:t>
      </w:r>
      <w:r w:rsidRPr="00284C86">
        <w:rPr>
          <w:rFonts w:ascii="Georgia" w:hAnsi="Georgia"/>
          <w:color w:val="110000"/>
        </w:rPr>
        <w:t xml:space="preserve"> Exhibit A, and its impact on the Nuclear Decommissioning Adjustment Clause and the conditions associated with the Unicom Settlement.</w:t>
      </w:r>
    </w:p>
    <w:p w:rsidR="002C329C" w:rsidRPr="00284C86" w:rsidRDefault="002C329C" w:rsidP="002C329C">
      <w:pPr>
        <w:rPr>
          <w:rFonts w:ascii="Georgia" w:hAnsi="Georgia"/>
          <w:color w:val="110000"/>
        </w:rPr>
      </w:pPr>
      <w:r w:rsidRPr="00284C86">
        <w:rPr>
          <w:rFonts w:ascii="Georgia" w:hAnsi="Georgia"/>
          <w:b/>
          <w:color w:val="000000"/>
        </w:rPr>
        <w:t xml:space="preserve"> </w:t>
      </w:r>
    </w:p>
    <w:p w:rsidR="002C329C" w:rsidRPr="00284C86" w:rsidRDefault="002C329C" w:rsidP="002C329C">
      <w:pPr>
        <w:rPr>
          <w:rFonts w:ascii="Georgia" w:hAnsi="Georgia"/>
          <w:color w:val="110000"/>
        </w:rPr>
      </w:pPr>
    </w:p>
    <w:p w:rsidR="002C329C" w:rsidRPr="00284C86" w:rsidRDefault="002C329C" w:rsidP="002C329C">
      <w:pPr>
        <w:rPr>
          <w:rFonts w:ascii="Georgia" w:hAnsi="Georgia"/>
          <w:color w:val="110000"/>
        </w:rPr>
      </w:pPr>
      <w:r>
        <w:rPr>
          <w:rFonts w:ascii="Georgia" w:hAnsi="Georgia"/>
          <w:color w:val="110000"/>
        </w:rPr>
        <w:tab/>
      </w:r>
      <w:r>
        <w:rPr>
          <w:rFonts w:ascii="Georgia" w:hAnsi="Georgia"/>
          <w:color w:val="110000"/>
        </w:rPr>
        <w:tab/>
      </w:r>
      <w:r>
        <w:rPr>
          <w:rFonts w:ascii="Georgia" w:hAnsi="Georgia"/>
          <w:color w:val="110000"/>
        </w:rPr>
        <w:tab/>
      </w:r>
      <w:r>
        <w:rPr>
          <w:rFonts w:ascii="Georgia" w:hAnsi="Georgia"/>
          <w:color w:val="110000"/>
        </w:rPr>
        <w:tab/>
      </w:r>
      <w:r>
        <w:rPr>
          <w:rFonts w:ascii="Georgia" w:hAnsi="Georgia"/>
          <w:color w:val="110000"/>
        </w:rPr>
        <w:tab/>
      </w:r>
      <w:r>
        <w:rPr>
          <w:rFonts w:ascii="Georgia" w:hAnsi="Georgia"/>
          <w:color w:val="110000"/>
        </w:rPr>
        <w:tab/>
        <w:t xml:space="preserve">        1</w:t>
      </w:r>
    </w:p>
    <w:p w:rsidR="002C329C" w:rsidRPr="00284C86" w:rsidRDefault="002C329C" w:rsidP="002C329C">
      <w:pPr>
        <w:rPr>
          <w:rFonts w:ascii="Georgia" w:hAnsi="Georgia"/>
          <w:color w:val="110000"/>
        </w:rPr>
      </w:pPr>
    </w:p>
    <w:p w:rsidR="002C329C" w:rsidRPr="00284C86" w:rsidRDefault="002C329C" w:rsidP="002C329C">
      <w:pPr>
        <w:rPr>
          <w:rFonts w:ascii="Georgia" w:hAnsi="Georgia"/>
          <w:b/>
          <w:color w:val="000000"/>
        </w:rPr>
      </w:pPr>
      <w:r w:rsidRPr="00284C86">
        <w:rPr>
          <w:rFonts w:ascii="Georgia" w:hAnsi="Georgia"/>
          <w:b/>
          <w:color w:val="000000"/>
        </w:rPr>
        <w:t>Right to Know Request, #4:</w:t>
      </w:r>
    </w:p>
    <w:p w:rsidR="002C329C" w:rsidRPr="00284C86" w:rsidRDefault="002C329C" w:rsidP="002C329C">
      <w:pPr>
        <w:rPr>
          <w:rFonts w:ascii="Georgia" w:hAnsi="Georgia"/>
          <w:color w:val="000000"/>
        </w:rPr>
      </w:pPr>
    </w:p>
    <w:p w:rsidR="002C329C" w:rsidRPr="00284C86" w:rsidRDefault="002C329C" w:rsidP="002C329C">
      <w:pPr>
        <w:rPr>
          <w:rFonts w:ascii="Georgia" w:hAnsi="Georgia"/>
          <w:b/>
          <w:color w:val="000000"/>
        </w:rPr>
      </w:pPr>
      <w:r w:rsidRPr="00284C86">
        <w:rPr>
          <w:rFonts w:ascii="Georgia" w:hAnsi="Georgia"/>
          <w:color w:val="000000"/>
        </w:rPr>
        <w:tab/>
        <w:t>"The Generation Spin Transaction will have no impact on PECO’s service, rates,  governance, employment levels, or day-to-day operations.”</w:t>
      </w:r>
    </w:p>
    <w:p w:rsidR="002C329C" w:rsidRPr="00284C86" w:rsidRDefault="002C329C" w:rsidP="002C329C">
      <w:pPr>
        <w:rPr>
          <w:rFonts w:ascii="Georgia" w:hAnsi="Georgia"/>
          <w:color w:val="000000"/>
        </w:rPr>
      </w:pPr>
    </w:p>
    <w:p w:rsidR="002C329C" w:rsidRPr="00284C86" w:rsidRDefault="002C329C" w:rsidP="002C329C">
      <w:pPr>
        <w:rPr>
          <w:rFonts w:ascii="Georgia" w:hAnsi="Georgia"/>
          <w:b/>
          <w:color w:val="000000"/>
        </w:rPr>
      </w:pPr>
      <w:r w:rsidRPr="00284C86">
        <w:rPr>
          <w:rFonts w:ascii="Georgia" w:hAnsi="Georgia"/>
          <w:color w:val="000000"/>
        </w:rPr>
        <w:tab/>
        <w:t>4a) Please provide Preliminary Findings  and/or F</w:t>
      </w:r>
      <w:r>
        <w:rPr>
          <w:rFonts w:ascii="Georgia" w:hAnsi="Georgia"/>
          <w:color w:val="000000"/>
        </w:rPr>
        <w:t>inal Conclusions</w:t>
      </w:r>
      <w:r w:rsidRPr="00284C86">
        <w:rPr>
          <w:rFonts w:ascii="Georgia" w:hAnsi="Georgia"/>
          <w:color w:val="000000"/>
        </w:rPr>
        <w:t xml:space="preserve"> from the PUC’s investigation </w:t>
      </w:r>
      <w:r>
        <w:rPr>
          <w:rFonts w:ascii="Georgia" w:hAnsi="Georgia"/>
          <w:color w:val="000000"/>
        </w:rPr>
        <w:t xml:space="preserve">in the </w:t>
      </w:r>
      <w:r w:rsidRPr="00284C86">
        <w:rPr>
          <w:rFonts w:ascii="Georgia" w:hAnsi="Georgia"/>
          <w:color w:val="000000"/>
        </w:rPr>
        <w:t>above referenced review of  the Spin Transaction’s impact on </w:t>
      </w:r>
      <w:r w:rsidRPr="00284C86">
        <w:rPr>
          <w:rFonts w:ascii="Times New Roman" w:hAnsi="Times New Roman"/>
          <w:color w:val="000000"/>
        </w:rPr>
        <w:t xml:space="preserve"> </w:t>
      </w:r>
      <w:r w:rsidRPr="00284C86">
        <w:rPr>
          <w:rFonts w:ascii="Georgia" w:hAnsi="Georgia"/>
          <w:color w:val="000000"/>
        </w:rPr>
        <w:t>PECO’s service, rates,  governance, employment levels, or day-to-day operations.</w:t>
      </w:r>
    </w:p>
    <w:p w:rsidR="00FA5834" w:rsidRPr="00284C86" w:rsidRDefault="00FA5834" w:rsidP="002C329C">
      <w:pPr>
        <w:rPr>
          <w:rFonts w:ascii="Georgia" w:hAnsi="Georgia"/>
          <w:color w:val="000000"/>
        </w:rPr>
      </w:pPr>
    </w:p>
    <w:p w:rsidR="00FA5834" w:rsidRPr="00284C86" w:rsidRDefault="00FA5834" w:rsidP="00FA5834">
      <w:pPr>
        <w:rPr>
          <w:rFonts w:ascii="Georgia" w:hAnsi="Georgia"/>
          <w:b/>
          <w:color w:val="000000"/>
        </w:rPr>
      </w:pPr>
      <w:r w:rsidRPr="00284C86">
        <w:rPr>
          <w:rFonts w:ascii="Georgia" w:hAnsi="Georgia"/>
          <w:color w:val="110000"/>
        </w:rPr>
        <w:tab/>
        <w:t>4b) Please provide all external and internal records, requests, e-mails and communications, including notes of communications, legal opinions and work notes among and between the Pennsylvania Public Utilities Commission and/o</w:t>
      </w:r>
      <w:r w:rsidR="002C329C">
        <w:rPr>
          <w:rFonts w:ascii="Georgia" w:hAnsi="Georgia"/>
          <w:color w:val="110000"/>
        </w:rPr>
        <w:t>r representatives from the,</w:t>
      </w:r>
      <w:r w:rsidRPr="00284C86">
        <w:rPr>
          <w:rFonts w:ascii="Georgia" w:hAnsi="Georgia"/>
          <w:color w:val="110000"/>
        </w:rPr>
        <w:t xml:space="preserve"> Bureau of Investigation and Enforcement (“BI&amp;E”), Office of Executive Director and/or any of their representatives, and PECO, Exelon or Spin Co </w:t>
      </w:r>
      <w:r w:rsidRPr="00284C86">
        <w:rPr>
          <w:rFonts w:ascii="Georgia" w:hAnsi="Georgia"/>
          <w:color w:val="000000"/>
        </w:rPr>
        <w:t xml:space="preserve"> regarding the Spin transaction impact on </w:t>
      </w:r>
      <w:r w:rsidRPr="00284C86">
        <w:rPr>
          <w:rFonts w:ascii="Times New Roman" w:hAnsi="Times New Roman"/>
          <w:color w:val="000000"/>
        </w:rPr>
        <w:t xml:space="preserve"> </w:t>
      </w:r>
      <w:r w:rsidRPr="00284C86">
        <w:rPr>
          <w:rFonts w:ascii="Georgia" w:hAnsi="Georgia"/>
          <w:color w:val="000000"/>
        </w:rPr>
        <w:t>PECO’s service, rates,  governance, employment levels, or day-to-day operations.</w:t>
      </w:r>
    </w:p>
    <w:p w:rsidR="00FA5834" w:rsidRPr="00284C86" w:rsidRDefault="00FA5834" w:rsidP="00FA5834">
      <w:pPr>
        <w:rPr>
          <w:rFonts w:ascii="Georgia" w:hAnsi="Georgia"/>
          <w:color w:val="000000"/>
        </w:rPr>
      </w:pPr>
    </w:p>
    <w:p w:rsidR="00FA5834" w:rsidRPr="00284C86" w:rsidRDefault="00FA5834" w:rsidP="00FA5834">
      <w:pPr>
        <w:rPr>
          <w:rFonts w:ascii="Georgia" w:hAnsi="Georgia"/>
          <w:color w:val="000000"/>
        </w:rPr>
      </w:pPr>
    </w:p>
    <w:p w:rsidR="00FA5834" w:rsidRPr="00284C86" w:rsidRDefault="00FA5834" w:rsidP="00FA5834">
      <w:pPr>
        <w:rPr>
          <w:rFonts w:ascii="Georgia" w:hAnsi="Georgia"/>
          <w:color w:val="000000"/>
        </w:rPr>
      </w:pPr>
    </w:p>
    <w:p w:rsidR="00FA5834" w:rsidRPr="00284C86" w:rsidRDefault="00FA5834" w:rsidP="00FA5834">
      <w:pPr>
        <w:rPr>
          <w:rFonts w:ascii="Georgia" w:hAnsi="Georgia"/>
          <w:color w:val="000000"/>
        </w:rPr>
      </w:pPr>
    </w:p>
    <w:p w:rsidR="00FA5834" w:rsidRPr="00284C86" w:rsidRDefault="00FA5834" w:rsidP="00FA5834">
      <w:pPr>
        <w:rPr>
          <w:rFonts w:ascii="Georgia" w:hAnsi="Georgia"/>
          <w:color w:val="000000"/>
        </w:rPr>
      </w:pPr>
    </w:p>
    <w:p w:rsidR="00FA5834" w:rsidRPr="00284C86" w:rsidRDefault="00FA5834" w:rsidP="00FA5834">
      <w:pPr>
        <w:rPr>
          <w:rFonts w:ascii="Georgia" w:hAnsi="Georgia"/>
          <w:color w:val="000000"/>
        </w:rPr>
      </w:pPr>
    </w:p>
    <w:p w:rsidR="00FA5834" w:rsidRPr="00284C86" w:rsidRDefault="00FA5834" w:rsidP="00FA5834">
      <w:pPr>
        <w:rPr>
          <w:rFonts w:ascii="Georgia" w:hAnsi="Georgia"/>
          <w:color w:val="000000"/>
        </w:rPr>
      </w:pPr>
    </w:p>
    <w:p w:rsidR="00FA5834" w:rsidRPr="00284C86" w:rsidRDefault="00FA5834" w:rsidP="00FA5834">
      <w:pPr>
        <w:rPr>
          <w:rFonts w:ascii="Georgia" w:hAnsi="Georgia"/>
          <w:color w:val="000000"/>
        </w:rPr>
      </w:pPr>
    </w:p>
    <w:p w:rsidR="00FA5834" w:rsidRPr="00284C86" w:rsidRDefault="00FA5834" w:rsidP="00FA5834">
      <w:pPr>
        <w:rPr>
          <w:rFonts w:ascii="Georgia" w:hAnsi="Georgia"/>
          <w:color w:val="000000"/>
        </w:rPr>
      </w:pPr>
    </w:p>
    <w:p w:rsidR="00FA5834" w:rsidRPr="00284C86" w:rsidRDefault="00FA5834" w:rsidP="00FA5834">
      <w:pPr>
        <w:rPr>
          <w:rFonts w:ascii="Georgia" w:hAnsi="Georgia"/>
          <w:color w:val="000000"/>
        </w:rPr>
      </w:pPr>
    </w:p>
    <w:p w:rsidR="00FA5834" w:rsidRDefault="00FA5834" w:rsidP="00FA5834">
      <w:pPr>
        <w:rPr>
          <w:rFonts w:ascii="Georgia" w:hAnsi="Georgia"/>
          <w:color w:val="000000"/>
        </w:rPr>
      </w:pPr>
      <w:r w:rsidRPr="00284C86">
        <w:rPr>
          <w:rFonts w:ascii="Georgia" w:hAnsi="Georgia"/>
          <w:color w:val="000000"/>
        </w:rPr>
        <w:tab/>
      </w:r>
      <w:r w:rsidRPr="00284C86">
        <w:rPr>
          <w:rFonts w:ascii="Georgia" w:hAnsi="Georgia"/>
          <w:color w:val="000000"/>
        </w:rPr>
        <w:tab/>
      </w:r>
      <w:r w:rsidRPr="00284C86">
        <w:rPr>
          <w:rFonts w:ascii="Georgia" w:hAnsi="Georgia"/>
          <w:color w:val="000000"/>
        </w:rPr>
        <w:tab/>
      </w:r>
      <w:r w:rsidRPr="00284C86">
        <w:rPr>
          <w:rFonts w:ascii="Georgia" w:hAnsi="Georgia"/>
          <w:color w:val="000000"/>
        </w:rPr>
        <w:tab/>
      </w:r>
      <w:r w:rsidRPr="00284C86">
        <w:rPr>
          <w:rFonts w:ascii="Georgia" w:hAnsi="Georgia"/>
          <w:color w:val="000000"/>
        </w:rPr>
        <w:tab/>
        <w:t xml:space="preserve">           </w:t>
      </w:r>
    </w:p>
    <w:p w:rsidR="00FA5834" w:rsidRDefault="00FA5834" w:rsidP="00FA5834">
      <w:pPr>
        <w:rPr>
          <w:rFonts w:ascii="Georgia" w:hAnsi="Georgia"/>
          <w:color w:val="000000"/>
        </w:rPr>
      </w:pPr>
    </w:p>
    <w:p w:rsidR="00FA5834" w:rsidRDefault="00FA5834" w:rsidP="00FA5834">
      <w:pPr>
        <w:rPr>
          <w:rFonts w:ascii="Georgia" w:hAnsi="Georgia"/>
          <w:color w:val="000000"/>
        </w:rPr>
      </w:pPr>
    </w:p>
    <w:p w:rsidR="00FA5834" w:rsidRDefault="00FA5834" w:rsidP="00FA5834">
      <w:pPr>
        <w:rPr>
          <w:rFonts w:ascii="Georgia" w:hAnsi="Georgia"/>
          <w:color w:val="000000"/>
        </w:rPr>
      </w:pPr>
    </w:p>
    <w:p w:rsidR="00FA5834" w:rsidRDefault="00FA5834" w:rsidP="00FA5834">
      <w:pPr>
        <w:rPr>
          <w:rFonts w:ascii="Georgia" w:hAnsi="Georgia"/>
          <w:color w:val="000000"/>
        </w:rPr>
      </w:pPr>
    </w:p>
    <w:p w:rsidR="00FA5834" w:rsidRDefault="00FA5834" w:rsidP="00FA5834">
      <w:pPr>
        <w:rPr>
          <w:rFonts w:ascii="Georgia" w:hAnsi="Georgia"/>
          <w:color w:val="000000"/>
        </w:rPr>
      </w:pPr>
    </w:p>
    <w:p w:rsidR="00FA5834" w:rsidRDefault="00FA5834" w:rsidP="00FA5834">
      <w:pPr>
        <w:rPr>
          <w:rFonts w:ascii="Georgia" w:hAnsi="Georgia"/>
          <w:color w:val="000000"/>
        </w:rPr>
      </w:pPr>
    </w:p>
    <w:p w:rsidR="00FA5834" w:rsidRDefault="00FA5834" w:rsidP="00FA5834">
      <w:pPr>
        <w:rPr>
          <w:rFonts w:ascii="Georgia" w:hAnsi="Georgia"/>
          <w:color w:val="000000"/>
        </w:rPr>
      </w:pPr>
    </w:p>
    <w:p w:rsidR="00FA5834" w:rsidRDefault="00FA5834" w:rsidP="00FA5834">
      <w:pPr>
        <w:rPr>
          <w:rFonts w:ascii="Georgia" w:hAnsi="Georgia"/>
          <w:color w:val="000000"/>
        </w:rPr>
      </w:pPr>
    </w:p>
    <w:p w:rsidR="00FA5834" w:rsidRDefault="00FA5834" w:rsidP="00FA5834">
      <w:pPr>
        <w:rPr>
          <w:rFonts w:ascii="Georgia" w:hAnsi="Georgia"/>
          <w:color w:val="000000"/>
        </w:rPr>
      </w:pPr>
    </w:p>
    <w:p w:rsidR="00FA5834" w:rsidRDefault="00FA5834" w:rsidP="00FA5834">
      <w:pPr>
        <w:rPr>
          <w:rFonts w:ascii="Georgia" w:hAnsi="Georgia"/>
          <w:color w:val="000000"/>
        </w:rPr>
      </w:pPr>
    </w:p>
    <w:p w:rsidR="00FA5834" w:rsidRDefault="00FA5834" w:rsidP="00FA5834">
      <w:pPr>
        <w:rPr>
          <w:rFonts w:ascii="Georgia" w:hAnsi="Georgia"/>
          <w:color w:val="000000"/>
        </w:rPr>
      </w:pPr>
    </w:p>
    <w:p w:rsidR="00FA5834" w:rsidRDefault="00FA5834" w:rsidP="00FA5834">
      <w:pPr>
        <w:rPr>
          <w:rFonts w:ascii="Georgia" w:hAnsi="Georgia"/>
          <w:color w:val="000000"/>
        </w:rPr>
      </w:pPr>
    </w:p>
    <w:p w:rsidR="00FA5834" w:rsidRDefault="00FA5834" w:rsidP="00FA5834">
      <w:pPr>
        <w:rPr>
          <w:rFonts w:ascii="Georgia" w:hAnsi="Georgia"/>
          <w:color w:val="000000"/>
        </w:rPr>
      </w:pPr>
    </w:p>
    <w:p w:rsidR="00FA5834" w:rsidRDefault="00FA5834" w:rsidP="00FA5834">
      <w:pPr>
        <w:rPr>
          <w:rFonts w:ascii="Georgia" w:hAnsi="Georgia"/>
          <w:color w:val="000000"/>
        </w:rPr>
      </w:pPr>
    </w:p>
    <w:p w:rsidR="00FA5834" w:rsidRDefault="00FA5834" w:rsidP="00FA5834">
      <w:pPr>
        <w:rPr>
          <w:rFonts w:ascii="Georgia" w:hAnsi="Georgia"/>
          <w:color w:val="000000"/>
        </w:rPr>
      </w:pPr>
    </w:p>
    <w:p w:rsidR="00FA5834" w:rsidRDefault="00FA5834" w:rsidP="00FA5834">
      <w:pPr>
        <w:rPr>
          <w:rFonts w:ascii="Georgia" w:hAnsi="Georgia"/>
          <w:color w:val="000000"/>
        </w:rPr>
      </w:pPr>
    </w:p>
    <w:p w:rsidR="00FA5834" w:rsidRDefault="00FA5834" w:rsidP="00FA5834">
      <w:pPr>
        <w:rPr>
          <w:rFonts w:ascii="Georgia" w:hAnsi="Georgia"/>
          <w:color w:val="000000"/>
        </w:rPr>
      </w:pPr>
    </w:p>
    <w:p w:rsidR="00FA5834" w:rsidRDefault="00FA5834" w:rsidP="00FA5834">
      <w:pPr>
        <w:rPr>
          <w:rFonts w:ascii="Georgia" w:hAnsi="Georgia"/>
          <w:color w:val="000000"/>
        </w:rPr>
      </w:pPr>
    </w:p>
    <w:p w:rsidR="00FA5834" w:rsidRDefault="00FA5834" w:rsidP="00FA5834">
      <w:pPr>
        <w:rPr>
          <w:rFonts w:ascii="Georgia" w:hAnsi="Georgia"/>
          <w:color w:val="000000"/>
        </w:rPr>
      </w:pPr>
    </w:p>
    <w:p w:rsidR="00FA5834" w:rsidRDefault="00FA5834" w:rsidP="00FA5834">
      <w:pPr>
        <w:rPr>
          <w:rFonts w:ascii="Georgia" w:hAnsi="Georgia"/>
          <w:color w:val="000000"/>
        </w:rPr>
      </w:pPr>
    </w:p>
    <w:p w:rsidR="00FA5834" w:rsidRDefault="00FA5834" w:rsidP="00FA5834">
      <w:pPr>
        <w:rPr>
          <w:rFonts w:ascii="Georgia" w:hAnsi="Georgia"/>
          <w:color w:val="000000"/>
        </w:rPr>
      </w:pPr>
    </w:p>
    <w:p w:rsidR="00FA5834" w:rsidRDefault="00FA5834" w:rsidP="00FA5834">
      <w:pPr>
        <w:rPr>
          <w:rFonts w:ascii="Georgia" w:hAnsi="Georgia"/>
          <w:color w:val="000000"/>
        </w:rPr>
      </w:pPr>
    </w:p>
    <w:p w:rsidR="003875A7" w:rsidRDefault="00FA5834" w:rsidP="00FA5834">
      <w:pPr>
        <w:rPr>
          <w:sz w:val="32"/>
          <w:szCs w:val="32"/>
        </w:rPr>
      </w:pPr>
      <w:r>
        <w:rPr>
          <w:rFonts w:ascii="Georgia" w:hAnsi="Georgia"/>
          <w:color w:val="000000"/>
        </w:rPr>
        <w:tab/>
      </w:r>
      <w:r>
        <w:rPr>
          <w:rFonts w:ascii="Georgia" w:hAnsi="Georgia"/>
          <w:color w:val="000000"/>
        </w:rPr>
        <w:tab/>
      </w:r>
      <w:r>
        <w:rPr>
          <w:rFonts w:ascii="Georgia" w:hAnsi="Georgia"/>
          <w:color w:val="000000"/>
        </w:rPr>
        <w:tab/>
      </w:r>
      <w:r>
        <w:rPr>
          <w:rFonts w:ascii="Georgia" w:hAnsi="Georgia"/>
          <w:color w:val="000000"/>
        </w:rPr>
        <w:tab/>
      </w:r>
      <w:r>
        <w:rPr>
          <w:rFonts w:ascii="Georgia" w:hAnsi="Georgia"/>
          <w:color w:val="000000"/>
        </w:rPr>
        <w:tab/>
      </w:r>
      <w:r>
        <w:rPr>
          <w:rFonts w:ascii="Georgia" w:hAnsi="Georgia"/>
          <w:color w:val="000000"/>
        </w:rPr>
        <w:tab/>
        <w:t xml:space="preserve">   2</w:t>
      </w:r>
    </w:p>
    <w:p w:rsidR="003875A7" w:rsidRPr="00605BDD" w:rsidRDefault="003875A7" w:rsidP="00605BDD">
      <w:pPr>
        <w:rPr>
          <w:sz w:val="32"/>
          <w:szCs w:val="32"/>
        </w:rPr>
      </w:pPr>
    </w:p>
    <w:sectPr w:rsidR="003875A7" w:rsidRPr="00605BDD" w:rsidSect="00B5198D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Segoe UI">
    <w:altName w:val="Cambria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20"/>
  <w:characterSpacingControl w:val="doNotCompress"/>
  <w:compat/>
  <w:rsids>
    <w:rsidRoot w:val="0086186C"/>
    <w:rsid w:val="00087882"/>
    <w:rsid w:val="001B7195"/>
    <w:rsid w:val="002C329C"/>
    <w:rsid w:val="00370FF4"/>
    <w:rsid w:val="003875A7"/>
    <w:rsid w:val="00605BDD"/>
    <w:rsid w:val="00645252"/>
    <w:rsid w:val="006B7D80"/>
    <w:rsid w:val="006D3D74"/>
    <w:rsid w:val="0083569A"/>
    <w:rsid w:val="0086186C"/>
    <w:rsid w:val="00A30067"/>
    <w:rsid w:val="00A9204E"/>
    <w:rsid w:val="00B5198D"/>
    <w:rsid w:val="00E220A4"/>
    <w:rsid w:val="00F777DB"/>
    <w:rsid w:val="00FA5834"/>
  </w:rsids>
  <m:mathPr>
    <m:mathFont m:val="Segoe UI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519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sid w:val="00B5198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B5198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B5198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19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198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5198D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B5198D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B5198D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sid w:val="00B5198D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B5198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198D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sid w:val="00B5198D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sid w:val="00B5198D"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B5198D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\AppData\Local\Microsoft\Office\16.0\DTS\en-US%7b2980CD05-1430-4D6A-927A-525B5BB5D367%7d\%7b86F0AFCD-750E-412B-807C-AA5EF061834F%7dtf0278699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\Users\Tom\AppData\Local\Microsoft\Office\16.0\DTS\en-US{2980CD05-1430-4D6A-927A-525B5BB5D367}\{86F0AFCD-750E-412B-807C-AA5EF061834F}tf02786999.dotx</Template>
  <TotalTime>32</TotalTime>
  <Pages>3</Pages>
  <Words>642</Words>
  <Characters>3665</Characters>
  <Application>Microsoft Macintosh Word</Application>
  <DocSecurity>0</DocSecurity>
  <Lines>30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Eric Epstein</cp:lastModifiedBy>
  <cp:revision>7</cp:revision>
  <dcterms:created xsi:type="dcterms:W3CDTF">2020-08-27T12:01:00Z</dcterms:created>
  <dcterms:modified xsi:type="dcterms:W3CDTF">2022-01-24T21:48:00Z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