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E3" w:rsidRDefault="002049E3" w:rsidP="003D16A2">
      <w:pPr>
        <w:pStyle w:val="NoSpacing"/>
        <w:jc w:val="center"/>
        <w:rPr>
          <w:rFonts w:ascii="Georgia" w:hAnsi="Georgia"/>
          <w:b/>
          <w:sz w:val="28"/>
        </w:rPr>
      </w:pPr>
      <w:r>
        <w:rPr>
          <w:rFonts w:ascii="Georgia" w:hAnsi="Georgia"/>
          <w:b/>
          <w:noProof/>
          <w:sz w:val="28"/>
        </w:rPr>
        <w:drawing>
          <wp:inline distT="0" distB="0" distL="0" distR="0">
            <wp:extent cx="5935980" cy="847090"/>
            <wp:effectExtent l="25400" t="0" r="7620" b="0"/>
            <wp:docPr id="1" name="Picture 1"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jpg"/>
                    <pic:cNvPicPr>
                      <a:picLocks noChangeAspect="1" noChangeArrowheads="1"/>
                    </pic:cNvPicPr>
                  </pic:nvPicPr>
                  <pic:blipFill>
                    <a:blip r:embed="rId5"/>
                    <a:srcRect/>
                    <a:stretch>
                      <a:fillRect/>
                    </a:stretch>
                  </pic:blipFill>
                  <pic:spPr bwMode="auto">
                    <a:xfrm>
                      <a:off x="0" y="0"/>
                      <a:ext cx="5935980" cy="847090"/>
                    </a:xfrm>
                    <a:prstGeom prst="rect">
                      <a:avLst/>
                    </a:prstGeom>
                    <a:noFill/>
                    <a:ln w="9525">
                      <a:noFill/>
                      <a:miter lim="800000"/>
                      <a:headEnd/>
                      <a:tailEnd/>
                    </a:ln>
                  </pic:spPr>
                </pic:pic>
              </a:graphicData>
            </a:graphic>
          </wp:inline>
        </w:drawing>
      </w:r>
    </w:p>
    <w:p w:rsidR="00741513" w:rsidRPr="00883D74" w:rsidRDefault="00741513" w:rsidP="00872F95">
      <w:pPr>
        <w:pStyle w:val="NoSpacing"/>
        <w:jc w:val="center"/>
        <w:rPr>
          <w:rFonts w:ascii="Georgia" w:eastAsiaTheme="minorEastAsia" w:hAnsi="Georgia" w:cs="Helvetica"/>
          <w:b/>
          <w:color w:val="262626"/>
          <w:sz w:val="28"/>
          <w:szCs w:val="21"/>
        </w:rPr>
      </w:pPr>
    </w:p>
    <w:p w:rsidR="00741513" w:rsidRPr="00883D74" w:rsidRDefault="00872F95" w:rsidP="00741513">
      <w:pPr>
        <w:pStyle w:val="NoSpacing"/>
        <w:jc w:val="center"/>
        <w:rPr>
          <w:rFonts w:ascii="Georgia" w:eastAsiaTheme="minorEastAsia" w:hAnsi="Georgia" w:cs="Helvetica"/>
          <w:b/>
          <w:color w:val="262626"/>
          <w:sz w:val="28"/>
          <w:szCs w:val="21"/>
        </w:rPr>
      </w:pPr>
      <w:r w:rsidRPr="00883D74">
        <w:rPr>
          <w:rFonts w:ascii="Georgia" w:eastAsiaTheme="minorEastAsia" w:hAnsi="Georgia" w:cs="Helvetica"/>
          <w:b/>
          <w:color w:val="262626"/>
          <w:sz w:val="28"/>
          <w:szCs w:val="21"/>
        </w:rPr>
        <w:t xml:space="preserve">Subject: Three Mile Island Nuclear Station, Unit 1 </w:t>
      </w:r>
    </w:p>
    <w:p w:rsidR="00872F95" w:rsidRPr="00883D74" w:rsidRDefault="00B70EBC" w:rsidP="00872F95">
      <w:pPr>
        <w:pStyle w:val="NoSpacing"/>
        <w:jc w:val="center"/>
        <w:rPr>
          <w:rFonts w:ascii="Georgia" w:hAnsi="Georgia"/>
          <w:b/>
          <w:color w:val="333333"/>
          <w:sz w:val="28"/>
          <w:szCs w:val="22"/>
        </w:rPr>
      </w:pPr>
      <w:r w:rsidRPr="00883D74">
        <w:rPr>
          <w:rFonts w:ascii="Georgia" w:eastAsiaTheme="minorEastAsia" w:hAnsi="Georgia" w:cs="Helvetica"/>
          <w:b/>
          <w:color w:val="262626"/>
          <w:sz w:val="28"/>
          <w:szCs w:val="21"/>
        </w:rPr>
        <w:t xml:space="preserve"> </w:t>
      </w:r>
      <w:r w:rsidR="00872F95" w:rsidRPr="00883D74">
        <w:rPr>
          <w:rFonts w:ascii="Georgia" w:eastAsiaTheme="minorEastAsia" w:hAnsi="Georgia" w:cs="Helvetica"/>
          <w:b/>
          <w:color w:val="262626"/>
          <w:sz w:val="28"/>
          <w:szCs w:val="21"/>
        </w:rPr>
        <w:t>Shutdown Decommissioning Activities Report</w:t>
      </w:r>
    </w:p>
    <w:p w:rsidR="00872F95" w:rsidRPr="00883D74" w:rsidRDefault="00872F95" w:rsidP="0087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color w:val="262626"/>
          <w:sz w:val="28"/>
          <w:szCs w:val="21"/>
        </w:rPr>
      </w:pPr>
      <w:r w:rsidRPr="00883D74">
        <w:rPr>
          <w:rFonts w:ascii="Georgia" w:eastAsiaTheme="minorEastAsia" w:hAnsi="Georgia" w:cs="Helvetica"/>
          <w:b/>
          <w:color w:val="262626"/>
          <w:sz w:val="28"/>
          <w:szCs w:val="21"/>
        </w:rPr>
        <w:tab/>
      </w:r>
      <w:r w:rsidRPr="00883D74">
        <w:rPr>
          <w:rFonts w:ascii="Georgia" w:eastAsiaTheme="minorEastAsia" w:hAnsi="Georgia" w:cs="Helvetica"/>
          <w:b/>
          <w:color w:val="262626"/>
          <w:sz w:val="28"/>
          <w:szCs w:val="21"/>
        </w:rPr>
        <w:tab/>
      </w:r>
      <w:r w:rsidR="003B5AFF">
        <w:rPr>
          <w:rFonts w:ascii="Georgia" w:eastAsiaTheme="minorEastAsia" w:hAnsi="Georgia" w:cs="Helvetica"/>
          <w:b/>
          <w:color w:val="262626"/>
          <w:sz w:val="28"/>
          <w:szCs w:val="21"/>
        </w:rPr>
        <w:t xml:space="preserve"> </w:t>
      </w:r>
      <w:r w:rsidR="00507D95" w:rsidRPr="00883D74">
        <w:rPr>
          <w:rFonts w:ascii="Georgia" w:eastAsiaTheme="minorEastAsia" w:hAnsi="Georgia" w:cs="Helvetica"/>
          <w:b/>
          <w:color w:val="262626"/>
          <w:sz w:val="28"/>
          <w:szCs w:val="21"/>
        </w:rPr>
        <w:t xml:space="preserve"> </w:t>
      </w:r>
      <w:r w:rsidRPr="00883D74">
        <w:rPr>
          <w:rFonts w:ascii="Georgia" w:eastAsiaTheme="minorEastAsia" w:hAnsi="Georgia" w:cs="Helvetica"/>
          <w:b/>
          <w:color w:val="262626"/>
          <w:sz w:val="28"/>
          <w:szCs w:val="21"/>
        </w:rPr>
        <w:t xml:space="preserve">Renewed Facility Operating License No. DPR 50 </w:t>
      </w:r>
    </w:p>
    <w:p w:rsidR="00872F95" w:rsidRPr="00883D74" w:rsidRDefault="00872F95" w:rsidP="0087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color w:val="262626"/>
          <w:sz w:val="28"/>
          <w:szCs w:val="21"/>
        </w:rPr>
      </w:pPr>
      <w:r w:rsidRPr="00883D74">
        <w:rPr>
          <w:rFonts w:ascii="Georgia" w:eastAsiaTheme="minorEastAsia" w:hAnsi="Georgia" w:cs="Helvetica"/>
          <w:b/>
          <w:color w:val="262626"/>
          <w:sz w:val="28"/>
          <w:szCs w:val="21"/>
        </w:rPr>
        <w:tab/>
      </w:r>
      <w:r w:rsidRPr="00883D74">
        <w:rPr>
          <w:rFonts w:ascii="Georgia" w:eastAsiaTheme="minorEastAsia" w:hAnsi="Georgia" w:cs="Helvetica"/>
          <w:b/>
          <w:color w:val="262626"/>
          <w:sz w:val="28"/>
          <w:szCs w:val="21"/>
        </w:rPr>
        <w:tab/>
      </w:r>
      <w:r w:rsidRPr="00883D74">
        <w:rPr>
          <w:rFonts w:ascii="Georgia" w:eastAsiaTheme="minorEastAsia" w:hAnsi="Georgia" w:cs="Helvetica"/>
          <w:b/>
          <w:color w:val="262626"/>
          <w:sz w:val="28"/>
          <w:szCs w:val="21"/>
        </w:rPr>
        <w:tab/>
      </w:r>
      <w:r w:rsidRPr="00883D74">
        <w:rPr>
          <w:rFonts w:ascii="Georgia" w:eastAsiaTheme="minorEastAsia" w:hAnsi="Georgia" w:cs="Helvetica"/>
          <w:b/>
          <w:color w:val="262626"/>
          <w:sz w:val="28"/>
          <w:szCs w:val="21"/>
        </w:rPr>
        <w:tab/>
      </w:r>
      <w:r w:rsidRPr="00883D74">
        <w:rPr>
          <w:rFonts w:ascii="Georgia" w:eastAsiaTheme="minorEastAsia" w:hAnsi="Georgia" w:cs="Helvetica"/>
          <w:b/>
          <w:color w:val="262626"/>
          <w:sz w:val="28"/>
          <w:szCs w:val="21"/>
        </w:rPr>
        <w:tab/>
        <w:t xml:space="preserve"> </w:t>
      </w:r>
      <w:r w:rsidR="001C2A5A" w:rsidRPr="00883D74">
        <w:rPr>
          <w:rFonts w:ascii="Georgia" w:eastAsiaTheme="minorEastAsia" w:hAnsi="Georgia" w:cs="Helvetica"/>
          <w:b/>
          <w:color w:val="262626"/>
          <w:sz w:val="28"/>
          <w:szCs w:val="21"/>
        </w:rPr>
        <w:t xml:space="preserve"> </w:t>
      </w:r>
      <w:r w:rsidRPr="00883D74">
        <w:rPr>
          <w:rFonts w:ascii="Georgia" w:eastAsiaTheme="minorEastAsia" w:hAnsi="Georgia" w:cs="Helvetica"/>
          <w:b/>
          <w:color w:val="262626"/>
          <w:sz w:val="28"/>
          <w:szCs w:val="21"/>
        </w:rPr>
        <w:t xml:space="preserve"> </w:t>
      </w:r>
      <w:r w:rsidR="002C57D4" w:rsidRPr="00883D74">
        <w:rPr>
          <w:rFonts w:ascii="Georgia" w:eastAsiaTheme="minorEastAsia" w:hAnsi="Georgia" w:cs="Helvetica"/>
          <w:b/>
          <w:color w:val="262626"/>
          <w:sz w:val="28"/>
          <w:szCs w:val="21"/>
        </w:rPr>
        <w:t>NRC Docket No. 50-</w:t>
      </w:r>
      <w:r w:rsidRPr="00883D74">
        <w:rPr>
          <w:rFonts w:ascii="Georgia" w:eastAsiaTheme="minorEastAsia" w:hAnsi="Georgia" w:cs="Helvetica"/>
          <w:b/>
          <w:color w:val="262626"/>
          <w:sz w:val="28"/>
          <w:szCs w:val="21"/>
        </w:rPr>
        <w:t>289</w:t>
      </w:r>
    </w:p>
    <w:p w:rsidR="00AB3E18" w:rsidRDefault="00AB3E18" w:rsidP="00AB3E18">
      <w:pPr>
        <w:widowControl w:val="0"/>
        <w:tabs>
          <w:tab w:val="left" w:pos="560"/>
          <w:tab w:val="left" w:pos="720"/>
          <w:tab w:val="left" w:pos="1440"/>
        </w:tabs>
        <w:autoSpaceDE w:val="0"/>
        <w:autoSpaceDN w:val="0"/>
        <w:adjustRightInd w:val="0"/>
        <w:rPr>
          <w:rFonts w:ascii="Georgia" w:eastAsiaTheme="minorEastAsia" w:hAnsi="Georgia" w:cs="Helvetica"/>
          <w:b/>
          <w:color w:val="262626"/>
          <w:sz w:val="28"/>
          <w:szCs w:val="21"/>
        </w:rPr>
      </w:pP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t xml:space="preserve">   </w:t>
      </w:r>
      <w:r w:rsidR="00F40340">
        <w:rPr>
          <w:rFonts w:ascii="Georgia" w:eastAsiaTheme="minorEastAsia" w:hAnsi="Georgia" w:cs="Helvetica"/>
          <w:b/>
          <w:color w:val="262626"/>
          <w:sz w:val="28"/>
          <w:szCs w:val="21"/>
        </w:rPr>
        <w:t xml:space="preserve">  </w:t>
      </w:r>
      <w:r w:rsidR="004E13EA">
        <w:rPr>
          <w:rFonts w:ascii="Georgia" w:eastAsiaTheme="minorEastAsia" w:hAnsi="Georgia" w:cs="Helvetica"/>
          <w:b/>
          <w:color w:val="262626"/>
          <w:sz w:val="28"/>
          <w:szCs w:val="21"/>
        </w:rPr>
        <w:t xml:space="preserve"> </w:t>
      </w:r>
      <w:r w:rsidR="00F40340">
        <w:rPr>
          <w:rFonts w:ascii="Georgia" w:eastAsiaTheme="minorEastAsia" w:hAnsi="Georgia" w:cs="Helvetica"/>
          <w:b/>
          <w:color w:val="262626"/>
          <w:sz w:val="28"/>
          <w:szCs w:val="21"/>
        </w:rPr>
        <w:t xml:space="preserve"> </w:t>
      </w:r>
      <w:r w:rsidR="00872F95" w:rsidRPr="00883D74">
        <w:rPr>
          <w:rFonts w:ascii="Georgia" w:eastAsiaTheme="minorEastAsia" w:hAnsi="Georgia" w:cs="Helvetica"/>
          <w:b/>
          <w:color w:val="262626"/>
          <w:sz w:val="28"/>
          <w:szCs w:val="21"/>
        </w:rPr>
        <w:t>10 CFR 50.82(a)(4)</w:t>
      </w:r>
      <w:r>
        <w:rPr>
          <w:rFonts w:ascii="Georgia" w:eastAsiaTheme="minorEastAsia" w:hAnsi="Georgia" w:cs="Helvetica"/>
          <w:b/>
          <w:color w:val="262626"/>
          <w:sz w:val="28"/>
          <w:szCs w:val="21"/>
        </w:rPr>
        <w:t xml:space="preserve"> </w:t>
      </w:r>
    </w:p>
    <w:p w:rsidR="00872F95" w:rsidRPr="00883D74" w:rsidRDefault="00AB3E18" w:rsidP="0087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color w:val="262626"/>
          <w:sz w:val="28"/>
          <w:szCs w:val="21"/>
        </w:rPr>
      </w:pP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r>
      <w:r>
        <w:rPr>
          <w:rFonts w:ascii="Georgia" w:eastAsiaTheme="minorEastAsia" w:hAnsi="Georgia" w:cs="Helvetica"/>
          <w:b/>
          <w:color w:val="262626"/>
          <w:sz w:val="28"/>
          <w:szCs w:val="21"/>
        </w:rPr>
        <w:tab/>
        <w:t>__________</w:t>
      </w:r>
    </w:p>
    <w:p w:rsidR="002049E3" w:rsidRPr="00883D74" w:rsidRDefault="002049E3" w:rsidP="003D16A2">
      <w:pPr>
        <w:pStyle w:val="NoSpacing"/>
        <w:jc w:val="center"/>
        <w:rPr>
          <w:rFonts w:ascii="Georgia" w:hAnsi="Georgia"/>
          <w:b/>
          <w:sz w:val="28"/>
        </w:rPr>
      </w:pPr>
    </w:p>
    <w:p w:rsidR="003D16A2" w:rsidRPr="00883D74" w:rsidRDefault="00CE63C4" w:rsidP="003D16A2">
      <w:pPr>
        <w:pStyle w:val="NoSpacing"/>
        <w:jc w:val="center"/>
        <w:rPr>
          <w:rFonts w:ascii="Georgia" w:hAnsi="Georgia"/>
          <w:b/>
          <w:sz w:val="28"/>
        </w:rPr>
      </w:pPr>
      <w:r w:rsidRPr="00883D74">
        <w:rPr>
          <w:rFonts w:ascii="Georgia" w:hAnsi="Georgia"/>
          <w:b/>
          <w:sz w:val="28"/>
        </w:rPr>
        <w:t xml:space="preserve">   </w:t>
      </w:r>
      <w:r w:rsidR="009D52E0">
        <w:rPr>
          <w:rFonts w:ascii="Georgia" w:hAnsi="Georgia"/>
          <w:b/>
          <w:sz w:val="28"/>
        </w:rPr>
        <w:t xml:space="preserve">    </w:t>
      </w:r>
      <w:r w:rsidR="003D16A2" w:rsidRPr="00883D74">
        <w:rPr>
          <w:rFonts w:ascii="Georgia" w:hAnsi="Georgia"/>
          <w:b/>
          <w:sz w:val="28"/>
        </w:rPr>
        <w:t>Three Mile Island Alert, Inc.’s</w:t>
      </w:r>
    </w:p>
    <w:p w:rsidR="009D52E0" w:rsidRDefault="003D16A2" w:rsidP="003D16A2">
      <w:pPr>
        <w:pStyle w:val="NoSpacing"/>
        <w:jc w:val="center"/>
        <w:rPr>
          <w:rFonts w:ascii="Georgia" w:hAnsi="Georgia"/>
          <w:b/>
          <w:sz w:val="28"/>
        </w:rPr>
      </w:pPr>
      <w:r w:rsidRPr="00883D74">
        <w:rPr>
          <w:rFonts w:ascii="Georgia" w:hAnsi="Georgia"/>
          <w:b/>
          <w:sz w:val="28"/>
        </w:rPr>
        <w:t>Oppos</w:t>
      </w:r>
      <w:r w:rsidR="00F84A04" w:rsidRPr="00883D74">
        <w:rPr>
          <w:rFonts w:ascii="Georgia" w:hAnsi="Georgia"/>
          <w:b/>
          <w:sz w:val="28"/>
        </w:rPr>
        <w:t>it</w:t>
      </w:r>
      <w:r w:rsidR="009D52E0">
        <w:rPr>
          <w:rFonts w:ascii="Georgia" w:hAnsi="Georgia"/>
          <w:b/>
          <w:sz w:val="28"/>
        </w:rPr>
        <w:t>ion to Exelon’s Request for Exemptions Relating to</w:t>
      </w:r>
      <w:r w:rsidR="00F84A04" w:rsidRPr="00883D74">
        <w:rPr>
          <w:rFonts w:ascii="Georgia" w:hAnsi="Georgia"/>
          <w:b/>
          <w:sz w:val="28"/>
        </w:rPr>
        <w:t xml:space="preserve"> </w:t>
      </w:r>
    </w:p>
    <w:p w:rsidR="003D16A2" w:rsidRPr="00F40340" w:rsidRDefault="009D52E0" w:rsidP="009D52E0">
      <w:pPr>
        <w:pStyle w:val="NoSpacing"/>
        <w:ind w:left="720" w:firstLine="720"/>
        <w:jc w:val="center"/>
        <w:rPr>
          <w:rFonts w:ascii="Georgia" w:hAnsi="Georgia"/>
          <w:b/>
          <w:color w:val="333333"/>
          <w:sz w:val="28"/>
          <w:szCs w:val="22"/>
        </w:rPr>
      </w:pPr>
      <w:r>
        <w:rPr>
          <w:rFonts w:ascii="Georgia" w:hAnsi="Georgia"/>
          <w:b/>
          <w:sz w:val="28"/>
        </w:rPr>
        <w:t xml:space="preserve">Three Mile Island Unit-1’s </w:t>
      </w:r>
      <w:r w:rsidR="00F84A04" w:rsidRPr="00F40340">
        <w:rPr>
          <w:rFonts w:ascii="Georgia" w:hAnsi="Georgia"/>
          <w:b/>
          <w:color w:val="333333"/>
          <w:sz w:val="28"/>
          <w:szCs w:val="22"/>
        </w:rPr>
        <w:t xml:space="preserve">Decommissioning Trust </w:t>
      </w:r>
      <w:r w:rsidR="003D16A2" w:rsidRPr="00F40340">
        <w:rPr>
          <w:rFonts w:ascii="Georgia" w:hAnsi="Georgia"/>
          <w:b/>
          <w:color w:val="333333"/>
          <w:sz w:val="28"/>
          <w:szCs w:val="22"/>
        </w:rPr>
        <w:t>Funds</w:t>
      </w:r>
    </w:p>
    <w:p w:rsidR="002049E3" w:rsidRPr="00AB3E18" w:rsidRDefault="00F84A04" w:rsidP="00AB3E18">
      <w:pPr>
        <w:pStyle w:val="NoSpacing"/>
        <w:jc w:val="center"/>
        <w:rPr>
          <w:rFonts w:ascii="Georgia" w:hAnsi="Georgia"/>
          <w:b/>
          <w:color w:val="333333"/>
          <w:sz w:val="28"/>
          <w:szCs w:val="22"/>
        </w:rPr>
      </w:pPr>
      <w:r w:rsidRPr="00883D74">
        <w:rPr>
          <w:rFonts w:ascii="Georgia" w:hAnsi="Georgia"/>
          <w:b/>
          <w:color w:val="333333"/>
          <w:sz w:val="28"/>
          <w:szCs w:val="22"/>
        </w:rPr>
        <w:t xml:space="preserve"> </w:t>
      </w:r>
    </w:p>
    <w:p w:rsidR="00872F95" w:rsidRPr="00883D74" w:rsidRDefault="009948C0" w:rsidP="003D16A2">
      <w:pPr>
        <w:pStyle w:val="NoSpacing"/>
        <w:jc w:val="center"/>
        <w:rPr>
          <w:rFonts w:ascii="Georgia" w:hAnsi="Georgia"/>
          <w:color w:val="333333"/>
          <w:sz w:val="28"/>
          <w:szCs w:val="22"/>
        </w:rPr>
      </w:pPr>
      <w:r w:rsidRPr="00883D74">
        <w:rPr>
          <w:rFonts w:ascii="Georgia" w:hAnsi="Georgia"/>
          <w:color w:val="333333"/>
          <w:sz w:val="28"/>
          <w:szCs w:val="22"/>
        </w:rPr>
        <w:t xml:space="preserve">  </w:t>
      </w:r>
      <w:r w:rsidR="003D16A2" w:rsidRPr="00883D74">
        <w:rPr>
          <w:rFonts w:ascii="Georgia" w:hAnsi="Georgia"/>
          <w:color w:val="333333"/>
          <w:sz w:val="28"/>
          <w:szCs w:val="22"/>
        </w:rPr>
        <w:t xml:space="preserve"> </w:t>
      </w:r>
      <w:r w:rsidR="00AB3E18">
        <w:rPr>
          <w:rFonts w:ascii="Georgia" w:hAnsi="Georgia"/>
          <w:color w:val="333333"/>
          <w:sz w:val="28"/>
          <w:szCs w:val="22"/>
        </w:rPr>
        <w:t xml:space="preserve">  </w:t>
      </w:r>
      <w:r w:rsidR="00F40340">
        <w:rPr>
          <w:rFonts w:ascii="Georgia" w:hAnsi="Georgia"/>
          <w:color w:val="333333"/>
          <w:sz w:val="28"/>
          <w:szCs w:val="22"/>
        </w:rPr>
        <w:t xml:space="preserve">     </w:t>
      </w:r>
      <w:r w:rsidR="002049E3" w:rsidRPr="00883D74">
        <w:rPr>
          <w:rFonts w:ascii="Georgia" w:hAnsi="Georgia"/>
          <w:color w:val="333333"/>
          <w:sz w:val="28"/>
          <w:szCs w:val="22"/>
        </w:rPr>
        <w:t>July 22, 2019</w:t>
      </w:r>
    </w:p>
    <w:p w:rsidR="00872F95" w:rsidRPr="00883D74" w:rsidRDefault="00872F95" w:rsidP="003D16A2">
      <w:pPr>
        <w:pStyle w:val="NoSpacing"/>
        <w:jc w:val="center"/>
        <w:rPr>
          <w:rFonts w:ascii="Georgia" w:hAnsi="Georgia"/>
          <w:color w:val="333333"/>
          <w:sz w:val="28"/>
          <w:szCs w:val="22"/>
        </w:rPr>
      </w:pPr>
    </w:p>
    <w:p w:rsidR="00872F95" w:rsidRPr="00883D74" w:rsidRDefault="00872F95" w:rsidP="0087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color w:val="262626"/>
          <w:sz w:val="28"/>
          <w:szCs w:val="21"/>
        </w:rPr>
      </w:pPr>
      <w:r w:rsidRPr="00883D74">
        <w:rPr>
          <w:rFonts w:ascii="Georgia" w:eastAsiaTheme="minorEastAsia" w:hAnsi="Georgia" w:cs="Helvetica"/>
          <w:color w:val="262626"/>
          <w:sz w:val="28"/>
          <w:szCs w:val="21"/>
        </w:rPr>
        <w:t xml:space="preserve">U.S. Nuclear Regulatory Commission </w:t>
      </w:r>
    </w:p>
    <w:p w:rsidR="00872F95" w:rsidRPr="00883D74" w:rsidRDefault="00872F95" w:rsidP="0087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color w:val="262626"/>
          <w:sz w:val="28"/>
          <w:szCs w:val="21"/>
        </w:rPr>
      </w:pPr>
      <w:r w:rsidRPr="00883D74">
        <w:rPr>
          <w:rFonts w:ascii="Georgia" w:eastAsiaTheme="minorEastAsia" w:hAnsi="Georgia" w:cs="Helvetica"/>
          <w:color w:val="262626"/>
          <w:sz w:val="28"/>
          <w:szCs w:val="21"/>
        </w:rPr>
        <w:t>A</w:t>
      </w:r>
      <w:r w:rsidR="002A548B" w:rsidRPr="00883D74">
        <w:rPr>
          <w:rFonts w:ascii="Georgia" w:eastAsiaTheme="minorEastAsia" w:hAnsi="Georgia" w:cs="Helvetica"/>
          <w:color w:val="262626"/>
          <w:sz w:val="28"/>
          <w:szCs w:val="22"/>
        </w:rPr>
        <w:t>ttention</w:t>
      </w:r>
      <w:r w:rsidRPr="00883D74">
        <w:rPr>
          <w:rFonts w:ascii="Georgia" w:eastAsiaTheme="minorEastAsia" w:hAnsi="Georgia" w:cs="Helvetica"/>
          <w:color w:val="262626"/>
          <w:sz w:val="28"/>
          <w:szCs w:val="22"/>
        </w:rPr>
        <w:t xml:space="preserve">: </w:t>
      </w:r>
      <w:r w:rsidRPr="00883D74">
        <w:rPr>
          <w:rFonts w:ascii="Georgia" w:eastAsiaTheme="minorEastAsia" w:hAnsi="Georgia" w:cs="Helvetica"/>
          <w:color w:val="262626"/>
          <w:sz w:val="28"/>
          <w:szCs w:val="21"/>
        </w:rPr>
        <w:t xml:space="preserve">Document Control Desk </w:t>
      </w:r>
    </w:p>
    <w:p w:rsidR="00872F95" w:rsidRPr="00883D74" w:rsidRDefault="00872F95" w:rsidP="0087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color w:val="262626"/>
          <w:sz w:val="28"/>
          <w:szCs w:val="21"/>
        </w:rPr>
      </w:pPr>
      <w:r w:rsidRPr="00883D74">
        <w:rPr>
          <w:rFonts w:ascii="Georgia" w:eastAsiaTheme="minorEastAsia" w:hAnsi="Georgia" w:cs="Helvetica"/>
          <w:color w:val="262626"/>
          <w:sz w:val="28"/>
          <w:szCs w:val="21"/>
        </w:rPr>
        <w:t>Washington, DC 20555-0001</w:t>
      </w:r>
    </w:p>
    <w:p w:rsidR="003D16A2" w:rsidRPr="00883D74" w:rsidRDefault="00872F95" w:rsidP="003D16A2">
      <w:pPr>
        <w:pStyle w:val="NoSpacing"/>
        <w:jc w:val="center"/>
        <w:rPr>
          <w:rFonts w:ascii="Georgia" w:hAnsi="Georgia"/>
          <w:color w:val="333333"/>
          <w:sz w:val="28"/>
          <w:szCs w:val="22"/>
        </w:rPr>
      </w:pPr>
      <w:r w:rsidRPr="00883D74">
        <w:rPr>
          <w:rFonts w:ascii="Georgia" w:hAnsi="Georgia"/>
          <w:color w:val="333333"/>
          <w:sz w:val="28"/>
          <w:szCs w:val="22"/>
        </w:rPr>
        <w:t xml:space="preserve"> </w:t>
      </w:r>
    </w:p>
    <w:p w:rsidR="003D16A2" w:rsidRPr="00883D74" w:rsidRDefault="003D16A2" w:rsidP="003D16A2">
      <w:pPr>
        <w:pStyle w:val="NoSpacing"/>
        <w:jc w:val="center"/>
        <w:rPr>
          <w:rFonts w:ascii="Georgia" w:hAnsi="Georgia"/>
          <w:color w:val="333333"/>
          <w:sz w:val="28"/>
          <w:szCs w:val="22"/>
        </w:rPr>
      </w:pPr>
    </w:p>
    <w:p w:rsidR="003D16A2" w:rsidRPr="00883D74" w:rsidRDefault="004649E8" w:rsidP="003D16A2">
      <w:pPr>
        <w:pStyle w:val="NoSpacing"/>
        <w:jc w:val="center"/>
        <w:rPr>
          <w:rFonts w:ascii="Georgia" w:hAnsi="Georgia"/>
          <w:b/>
          <w:color w:val="333333"/>
          <w:sz w:val="28"/>
          <w:szCs w:val="22"/>
        </w:rPr>
      </w:pPr>
      <w:r w:rsidRPr="00883D74">
        <w:rPr>
          <w:rFonts w:ascii="Georgia" w:hAnsi="Georgia"/>
          <w:b/>
          <w:color w:val="333333"/>
          <w:sz w:val="28"/>
          <w:szCs w:val="22"/>
        </w:rPr>
        <w:t>Intro</w:t>
      </w:r>
      <w:r w:rsidR="003D16A2" w:rsidRPr="00883D74">
        <w:rPr>
          <w:rFonts w:ascii="Georgia" w:hAnsi="Georgia"/>
          <w:b/>
          <w:color w:val="333333"/>
          <w:sz w:val="28"/>
          <w:szCs w:val="22"/>
        </w:rPr>
        <w:t xml:space="preserve">duction </w:t>
      </w:r>
    </w:p>
    <w:p w:rsidR="003D16A2" w:rsidRPr="00883D74" w:rsidRDefault="003D16A2" w:rsidP="003D16A2">
      <w:pPr>
        <w:pStyle w:val="NoSpacing"/>
        <w:rPr>
          <w:rFonts w:ascii="Georgia" w:hAnsi="Georgia"/>
          <w:color w:val="333333"/>
          <w:sz w:val="28"/>
          <w:szCs w:val="22"/>
        </w:rPr>
      </w:pPr>
    </w:p>
    <w:p w:rsidR="00872F95" w:rsidRPr="00883D74" w:rsidRDefault="003D16A2" w:rsidP="00AF6075">
      <w:pPr>
        <w:pStyle w:val="NormalWeb"/>
        <w:ind w:firstLine="720"/>
        <w:rPr>
          <w:rFonts w:ascii="Georgia" w:hAnsi="Georgia"/>
          <w:color w:val="333333"/>
          <w:sz w:val="28"/>
          <w:szCs w:val="22"/>
        </w:rPr>
      </w:pPr>
      <w:r w:rsidRPr="00883D74">
        <w:rPr>
          <w:rFonts w:ascii="Georgia" w:hAnsi="Georgia"/>
          <w:color w:val="333333"/>
          <w:sz w:val="28"/>
          <w:szCs w:val="22"/>
          <w:highlight w:val="yellow"/>
        </w:rPr>
        <w:t>Exelon Generation Company, LLC (</w:t>
      </w:r>
      <w:r w:rsidR="00AF6075" w:rsidRPr="00883D74">
        <w:rPr>
          <w:rFonts w:ascii="Georgia" w:hAnsi="Georgia"/>
          <w:color w:val="333333"/>
          <w:sz w:val="28"/>
          <w:szCs w:val="22"/>
          <w:highlight w:val="yellow"/>
        </w:rPr>
        <w:t>“</w:t>
      </w:r>
      <w:r w:rsidRPr="00883D74">
        <w:rPr>
          <w:rFonts w:ascii="Georgia" w:hAnsi="Georgia"/>
          <w:color w:val="333333"/>
          <w:sz w:val="28"/>
          <w:szCs w:val="22"/>
          <w:highlight w:val="yellow"/>
        </w:rPr>
        <w:t>Exelon</w:t>
      </w:r>
      <w:r w:rsidR="00AF6075" w:rsidRPr="00883D74">
        <w:rPr>
          <w:rFonts w:ascii="Georgia" w:hAnsi="Georgia"/>
          <w:color w:val="333333"/>
          <w:sz w:val="28"/>
          <w:szCs w:val="22"/>
          <w:highlight w:val="yellow"/>
        </w:rPr>
        <w:t>”</w:t>
      </w:r>
      <w:r w:rsidR="00AB3846" w:rsidRPr="00883D74">
        <w:rPr>
          <w:rFonts w:ascii="Georgia" w:hAnsi="Georgia"/>
          <w:color w:val="333333"/>
          <w:sz w:val="28"/>
          <w:szCs w:val="22"/>
          <w:highlight w:val="yellow"/>
        </w:rPr>
        <w:t xml:space="preserve"> or “t</w:t>
      </w:r>
      <w:r w:rsidR="006F381C" w:rsidRPr="00883D74">
        <w:rPr>
          <w:rFonts w:ascii="Georgia" w:hAnsi="Georgia"/>
          <w:color w:val="333333"/>
          <w:sz w:val="28"/>
          <w:szCs w:val="22"/>
          <w:highlight w:val="yellow"/>
        </w:rPr>
        <w:t>he Company”</w:t>
      </w:r>
      <w:r w:rsidRPr="00883D74">
        <w:rPr>
          <w:rFonts w:ascii="Georgia" w:hAnsi="Georgia"/>
          <w:color w:val="333333"/>
          <w:sz w:val="28"/>
          <w:szCs w:val="22"/>
          <w:highlight w:val="yellow"/>
        </w:rPr>
        <w:t>) is requesting</w:t>
      </w:r>
      <w:r w:rsidR="00AF6075" w:rsidRPr="00883D74">
        <w:rPr>
          <w:rFonts w:ascii="Georgia" w:hAnsi="Georgia"/>
          <w:color w:val="333333"/>
          <w:sz w:val="28"/>
          <w:szCs w:val="22"/>
        </w:rPr>
        <w:t xml:space="preserve"> an exemption from 10</w:t>
      </w:r>
      <w:r w:rsidR="00EE646A" w:rsidRPr="00883D74">
        <w:rPr>
          <w:rFonts w:ascii="Georgia" w:hAnsi="Georgia"/>
          <w:color w:val="333333"/>
          <w:sz w:val="28"/>
          <w:szCs w:val="22"/>
        </w:rPr>
        <w:t xml:space="preserve"> </w:t>
      </w:r>
      <w:r w:rsidRPr="00883D74">
        <w:rPr>
          <w:rFonts w:ascii="Georgia" w:hAnsi="Georgia"/>
          <w:color w:val="333333"/>
          <w:sz w:val="28"/>
          <w:szCs w:val="22"/>
        </w:rPr>
        <w:t>CFR 50.82(a)(8)(</w:t>
      </w:r>
      <w:proofErr w:type="spellStart"/>
      <w:r w:rsidRPr="00883D74">
        <w:rPr>
          <w:rFonts w:ascii="Georgia" w:hAnsi="Georgia"/>
          <w:color w:val="333333"/>
          <w:sz w:val="28"/>
          <w:szCs w:val="22"/>
        </w:rPr>
        <w:t>i</w:t>
      </w:r>
      <w:proofErr w:type="spellEnd"/>
      <w:r w:rsidRPr="00883D74">
        <w:rPr>
          <w:rFonts w:ascii="Georgia" w:hAnsi="Georgia"/>
          <w:color w:val="333333"/>
          <w:sz w:val="28"/>
          <w:szCs w:val="22"/>
        </w:rPr>
        <w:t xml:space="preserve">)(A) for Three Mile Island Nuclear Station, Unit </w:t>
      </w:r>
      <w:r w:rsidRPr="00883D74">
        <w:rPr>
          <w:rFonts w:ascii="Georgia" w:hAnsi="Georgia"/>
          <w:color w:val="333333"/>
          <w:sz w:val="28"/>
          <w:szCs w:val="20"/>
        </w:rPr>
        <w:t xml:space="preserve">1, </w:t>
      </w:r>
      <w:r w:rsidR="00AF6075" w:rsidRPr="00883D74">
        <w:rPr>
          <w:rFonts w:ascii="Georgia" w:hAnsi="Georgia"/>
          <w:color w:val="333333"/>
          <w:sz w:val="28"/>
          <w:szCs w:val="22"/>
        </w:rPr>
        <w:t>(“TMI</w:t>
      </w:r>
      <w:r w:rsidRPr="00883D74">
        <w:rPr>
          <w:rFonts w:ascii="Georgia" w:hAnsi="Georgia"/>
          <w:color w:val="333333"/>
          <w:sz w:val="28"/>
          <w:szCs w:val="22"/>
        </w:rPr>
        <w:t>-1</w:t>
      </w:r>
      <w:r w:rsidR="00AF6075" w:rsidRPr="00883D74">
        <w:rPr>
          <w:rFonts w:ascii="Georgia" w:hAnsi="Georgia"/>
          <w:color w:val="333333"/>
          <w:sz w:val="28"/>
          <w:szCs w:val="22"/>
        </w:rPr>
        <w:t>”</w:t>
      </w:r>
      <w:r w:rsidRPr="00883D74">
        <w:rPr>
          <w:rFonts w:ascii="Georgia" w:hAnsi="Georgia"/>
          <w:color w:val="333333"/>
          <w:sz w:val="28"/>
          <w:szCs w:val="22"/>
        </w:rPr>
        <w:t xml:space="preserve">) </w:t>
      </w:r>
      <w:r w:rsidRPr="00883D74">
        <w:rPr>
          <w:rFonts w:ascii="Georgia" w:hAnsi="Georgia"/>
          <w:color w:val="333333"/>
          <w:sz w:val="28"/>
          <w:szCs w:val="22"/>
          <w:highlight w:val="yellow"/>
        </w:rPr>
        <w:t>to allow use of a portion of the funds from the TMl-1 decommissioning trust fund (</w:t>
      </w:r>
      <w:r w:rsidR="00AF6075" w:rsidRPr="00883D74">
        <w:rPr>
          <w:rFonts w:ascii="Georgia" w:hAnsi="Georgia"/>
          <w:color w:val="333333"/>
          <w:sz w:val="28"/>
          <w:szCs w:val="22"/>
          <w:highlight w:val="yellow"/>
        </w:rPr>
        <w:t>“</w:t>
      </w:r>
      <w:r w:rsidRPr="00883D74">
        <w:rPr>
          <w:rFonts w:ascii="Georgia" w:hAnsi="Georgia"/>
          <w:color w:val="333333"/>
          <w:sz w:val="28"/>
          <w:szCs w:val="22"/>
          <w:highlight w:val="yellow"/>
        </w:rPr>
        <w:t>DTF</w:t>
      </w:r>
      <w:r w:rsidR="00AF6075" w:rsidRPr="00883D74">
        <w:rPr>
          <w:rFonts w:ascii="Georgia" w:hAnsi="Georgia"/>
          <w:color w:val="333333"/>
          <w:sz w:val="28"/>
          <w:szCs w:val="22"/>
          <w:highlight w:val="yellow"/>
        </w:rPr>
        <w:t>”</w:t>
      </w:r>
      <w:r w:rsidRPr="00883D74">
        <w:rPr>
          <w:rFonts w:ascii="Georgia" w:hAnsi="Georgia"/>
          <w:color w:val="333333"/>
          <w:sz w:val="28"/>
          <w:szCs w:val="22"/>
          <w:highlight w:val="yellow"/>
        </w:rPr>
        <w:t>) for the management of spent fuel</w:t>
      </w:r>
      <w:r w:rsidRPr="00883D74">
        <w:rPr>
          <w:rFonts w:ascii="Georgia" w:hAnsi="Georgia"/>
          <w:color w:val="333333"/>
          <w:sz w:val="28"/>
          <w:szCs w:val="22"/>
        </w:rPr>
        <w:t xml:space="preserve"> based on the TMl-1 decommissioning cost estimate (</w:t>
      </w:r>
      <w:r w:rsidR="00AF6075" w:rsidRPr="00883D74">
        <w:rPr>
          <w:rFonts w:ascii="Georgia" w:hAnsi="Georgia"/>
          <w:color w:val="333333"/>
          <w:sz w:val="28"/>
          <w:szCs w:val="22"/>
        </w:rPr>
        <w:t>“</w:t>
      </w:r>
      <w:r w:rsidRPr="00883D74">
        <w:rPr>
          <w:rFonts w:ascii="Georgia" w:hAnsi="Georgia"/>
          <w:color w:val="333333"/>
          <w:sz w:val="28"/>
          <w:szCs w:val="22"/>
        </w:rPr>
        <w:t>DCE</w:t>
      </w:r>
      <w:r w:rsidR="00AF6075" w:rsidRPr="00883D74">
        <w:rPr>
          <w:rFonts w:ascii="Georgia" w:hAnsi="Georgia"/>
          <w:color w:val="333333"/>
          <w:sz w:val="28"/>
          <w:szCs w:val="22"/>
        </w:rPr>
        <w:t>”</w:t>
      </w:r>
      <w:r w:rsidR="006F381C" w:rsidRPr="00883D74">
        <w:rPr>
          <w:rFonts w:ascii="Georgia" w:hAnsi="Georgia"/>
          <w:color w:val="333333"/>
          <w:sz w:val="28"/>
          <w:szCs w:val="22"/>
        </w:rPr>
        <w:t>.</w:t>
      </w:r>
      <w:r w:rsidRPr="00883D74">
        <w:rPr>
          <w:rFonts w:ascii="Georgia" w:hAnsi="Georgia"/>
          <w:color w:val="333333"/>
          <w:sz w:val="28"/>
          <w:szCs w:val="22"/>
        </w:rPr>
        <w:t xml:space="preserve">) </w:t>
      </w:r>
      <w:r w:rsidR="00AF6075" w:rsidRPr="00883D74">
        <w:rPr>
          <w:rFonts w:ascii="Georgia" w:hAnsi="Georgia"/>
          <w:color w:val="333333"/>
          <w:sz w:val="28"/>
          <w:szCs w:val="22"/>
        </w:rPr>
        <w:t>[</w:t>
      </w:r>
      <w:r w:rsidR="00AF6075" w:rsidRPr="00EC0C7E">
        <w:rPr>
          <w:rFonts w:ascii="Georgia" w:hAnsi="Georgia"/>
          <w:color w:val="333333"/>
          <w:sz w:val="28"/>
          <w:szCs w:val="22"/>
        </w:rPr>
        <w:t xml:space="preserve">See </w:t>
      </w:r>
      <w:r w:rsidR="00566AFD" w:rsidRPr="00EC0C7E">
        <w:rPr>
          <w:rFonts w:ascii="Georgia" w:hAnsi="Georgia"/>
          <w:color w:val="333333"/>
          <w:sz w:val="28"/>
          <w:szCs w:val="22"/>
        </w:rPr>
        <w:t>Encl</w:t>
      </w:r>
      <w:r w:rsidR="006A28A6" w:rsidRPr="00EC0C7E">
        <w:rPr>
          <w:rFonts w:ascii="Georgia" w:hAnsi="Georgia"/>
          <w:color w:val="333333"/>
          <w:sz w:val="28"/>
          <w:szCs w:val="22"/>
        </w:rPr>
        <w:t>o</w:t>
      </w:r>
      <w:r w:rsidR="00566AFD" w:rsidRPr="00EC0C7E">
        <w:rPr>
          <w:rFonts w:ascii="Georgia" w:hAnsi="Georgia"/>
          <w:color w:val="333333"/>
          <w:sz w:val="28"/>
          <w:szCs w:val="22"/>
        </w:rPr>
        <w:t>s</w:t>
      </w:r>
      <w:r w:rsidR="006A28A6" w:rsidRPr="00EC0C7E">
        <w:rPr>
          <w:rFonts w:ascii="Georgia" w:hAnsi="Georgia"/>
          <w:color w:val="333333"/>
          <w:sz w:val="28"/>
          <w:szCs w:val="22"/>
        </w:rPr>
        <w:t>ure</w:t>
      </w:r>
      <w:r w:rsidR="00AF6075" w:rsidRPr="00EC0C7E">
        <w:rPr>
          <w:rFonts w:ascii="Georgia" w:hAnsi="Georgia"/>
          <w:color w:val="333333"/>
          <w:sz w:val="28"/>
          <w:szCs w:val="22"/>
        </w:rPr>
        <w:t xml:space="preserve"> 1 for a discussion on the unreliability of decontamination and decommissioning estimates at Three Mile Island.]</w:t>
      </w:r>
      <w:r w:rsidRPr="00883D74">
        <w:rPr>
          <w:rFonts w:ascii="Georgia" w:hAnsi="Georgia"/>
          <w:color w:val="333333"/>
          <w:sz w:val="28"/>
          <w:szCs w:val="20"/>
        </w:rPr>
        <w:t xml:space="preserve"> </w:t>
      </w:r>
      <w:r w:rsidRPr="00883D74">
        <w:rPr>
          <w:rFonts w:ascii="Georgia" w:hAnsi="Georgia"/>
          <w:color w:val="333333"/>
          <w:sz w:val="28"/>
          <w:szCs w:val="22"/>
          <w:highlight w:val="yellow"/>
        </w:rPr>
        <w:t>Exelon also requests</w:t>
      </w:r>
      <w:r w:rsidR="003F41CA" w:rsidRPr="00883D74">
        <w:rPr>
          <w:rFonts w:ascii="Georgia" w:hAnsi="Georgia"/>
          <w:color w:val="333333"/>
          <w:sz w:val="28"/>
          <w:szCs w:val="22"/>
        </w:rPr>
        <w:t>, pursuant to 10</w:t>
      </w:r>
      <w:r w:rsidR="00467ADC" w:rsidRPr="00883D74">
        <w:rPr>
          <w:rFonts w:ascii="Georgia" w:hAnsi="Georgia"/>
          <w:color w:val="333333"/>
          <w:sz w:val="28"/>
          <w:szCs w:val="22"/>
        </w:rPr>
        <w:t xml:space="preserve"> </w:t>
      </w:r>
      <w:r w:rsidRPr="00883D74">
        <w:rPr>
          <w:rFonts w:ascii="Georgia" w:hAnsi="Georgia"/>
          <w:color w:val="333333"/>
          <w:sz w:val="28"/>
          <w:szCs w:val="22"/>
        </w:rPr>
        <w:t xml:space="preserve">CFR 50.12, </w:t>
      </w:r>
      <w:r w:rsidRPr="00883D74">
        <w:rPr>
          <w:rFonts w:ascii="Georgia" w:hAnsi="Georgia"/>
          <w:color w:val="333333"/>
          <w:sz w:val="28"/>
          <w:szCs w:val="22"/>
          <w:highlight w:val="yellow"/>
        </w:rPr>
        <w:t>an exemption</w:t>
      </w:r>
      <w:r w:rsidRPr="00883D74">
        <w:rPr>
          <w:rFonts w:ascii="Georgia" w:hAnsi="Georgia"/>
          <w:color w:val="333333"/>
          <w:sz w:val="28"/>
          <w:szCs w:val="22"/>
        </w:rPr>
        <w:t xml:space="preserve"> from 10 CFR 50. 75(h)</w:t>
      </w:r>
      <w:r w:rsidR="00AF6075" w:rsidRPr="00883D74">
        <w:rPr>
          <w:rFonts w:ascii="Georgia" w:hAnsi="Georgia"/>
          <w:color w:val="333333"/>
          <w:sz w:val="28"/>
          <w:szCs w:val="22"/>
        </w:rPr>
        <w:t xml:space="preserve"> </w:t>
      </w:r>
      <w:r w:rsidR="001523D8" w:rsidRPr="00883D74">
        <w:rPr>
          <w:rFonts w:ascii="Georgia" w:hAnsi="Georgia"/>
          <w:color w:val="333333"/>
          <w:sz w:val="28"/>
          <w:szCs w:val="22"/>
        </w:rPr>
        <w:t>(1</w:t>
      </w:r>
      <w:r w:rsidRPr="00883D74">
        <w:rPr>
          <w:rFonts w:ascii="Georgia" w:hAnsi="Georgia"/>
          <w:color w:val="333333"/>
          <w:sz w:val="28"/>
          <w:szCs w:val="22"/>
        </w:rPr>
        <w:t>)</w:t>
      </w:r>
      <w:r w:rsidR="001523D8" w:rsidRPr="00883D74">
        <w:rPr>
          <w:rFonts w:ascii="Georgia" w:hAnsi="Georgia"/>
          <w:color w:val="333333"/>
          <w:sz w:val="28"/>
          <w:szCs w:val="22"/>
        </w:rPr>
        <w:t xml:space="preserve"> </w:t>
      </w:r>
      <w:r w:rsidRPr="00883D74">
        <w:rPr>
          <w:rFonts w:ascii="Georgia" w:hAnsi="Georgia"/>
          <w:color w:val="333333"/>
          <w:sz w:val="28"/>
          <w:szCs w:val="22"/>
        </w:rPr>
        <w:t>(</w:t>
      </w:r>
      <w:proofErr w:type="gramStart"/>
      <w:r w:rsidRPr="00883D74">
        <w:rPr>
          <w:rFonts w:ascii="Georgia" w:hAnsi="Georgia"/>
          <w:color w:val="333333"/>
          <w:sz w:val="28"/>
          <w:szCs w:val="22"/>
        </w:rPr>
        <w:t>iv</w:t>
      </w:r>
      <w:proofErr w:type="gramEnd"/>
      <w:r w:rsidRPr="00883D74">
        <w:rPr>
          <w:rFonts w:ascii="Georgia" w:hAnsi="Georgia"/>
          <w:color w:val="333333"/>
          <w:sz w:val="28"/>
          <w:szCs w:val="22"/>
        </w:rPr>
        <w:t xml:space="preserve">) </w:t>
      </w:r>
      <w:r w:rsidRPr="00883D74">
        <w:rPr>
          <w:rFonts w:ascii="Georgia" w:hAnsi="Georgia"/>
          <w:color w:val="333333"/>
          <w:sz w:val="28"/>
          <w:szCs w:val="22"/>
          <w:highlight w:val="yellow"/>
        </w:rPr>
        <w:t>to allow TMl-1 DTF disbursements for spent fuel management to be made without prior notice</w:t>
      </w:r>
      <w:r w:rsidRPr="00883D74">
        <w:rPr>
          <w:rFonts w:ascii="Georgia" w:hAnsi="Georgia"/>
          <w:color w:val="333333"/>
          <w:sz w:val="28"/>
          <w:szCs w:val="22"/>
        </w:rPr>
        <w:t>, similar to withdrawals in accordance with 10</w:t>
      </w:r>
      <w:r w:rsidR="00467ADC" w:rsidRPr="00883D74">
        <w:rPr>
          <w:rFonts w:ascii="Georgia" w:hAnsi="Georgia"/>
          <w:color w:val="333333"/>
          <w:sz w:val="28"/>
          <w:szCs w:val="22"/>
        </w:rPr>
        <w:t xml:space="preserve"> </w:t>
      </w:r>
      <w:r w:rsidRPr="00883D74">
        <w:rPr>
          <w:rFonts w:ascii="Georgia" w:hAnsi="Georgia"/>
          <w:color w:val="333333"/>
          <w:sz w:val="28"/>
          <w:szCs w:val="22"/>
        </w:rPr>
        <w:t xml:space="preserve">CFR 50.82(a)(8). </w:t>
      </w:r>
    </w:p>
    <w:p w:rsidR="003D16A2" w:rsidRPr="00883D74" w:rsidRDefault="006F7B6D" w:rsidP="003D2427">
      <w:pPr>
        <w:pStyle w:val="NormalWeb"/>
        <w:ind w:firstLine="720"/>
        <w:rPr>
          <w:rFonts w:ascii="Georgia" w:hAnsi="Georgia"/>
          <w:color w:val="333333"/>
          <w:sz w:val="28"/>
          <w:szCs w:val="22"/>
        </w:rPr>
      </w:pPr>
      <w:r w:rsidRPr="00883D74">
        <w:rPr>
          <w:rFonts w:ascii="Georgia" w:hAnsi="Georgia"/>
          <w:color w:val="333333"/>
          <w:sz w:val="28"/>
          <w:szCs w:val="22"/>
        </w:rPr>
        <w:tab/>
      </w:r>
      <w:r w:rsidRPr="00883D74">
        <w:rPr>
          <w:rFonts w:ascii="Georgia" w:hAnsi="Georgia"/>
          <w:color w:val="333333"/>
          <w:sz w:val="28"/>
          <w:szCs w:val="22"/>
        </w:rPr>
        <w:tab/>
      </w:r>
      <w:r w:rsidRPr="00883D74">
        <w:rPr>
          <w:rFonts w:ascii="Georgia" w:hAnsi="Georgia"/>
          <w:color w:val="333333"/>
          <w:sz w:val="28"/>
          <w:szCs w:val="22"/>
        </w:rPr>
        <w:tab/>
      </w:r>
      <w:r w:rsidRPr="00883D74">
        <w:rPr>
          <w:rFonts w:ascii="Georgia" w:hAnsi="Georgia"/>
          <w:color w:val="333333"/>
          <w:sz w:val="28"/>
          <w:szCs w:val="22"/>
        </w:rPr>
        <w:tab/>
      </w:r>
      <w:r w:rsidRPr="00883D74">
        <w:rPr>
          <w:rFonts w:ascii="Georgia" w:hAnsi="Georgia"/>
          <w:color w:val="333333"/>
          <w:sz w:val="28"/>
          <w:szCs w:val="22"/>
        </w:rPr>
        <w:tab/>
        <w:t xml:space="preserve">  </w:t>
      </w:r>
      <w:r w:rsidR="006F381C" w:rsidRPr="00883D74">
        <w:rPr>
          <w:rFonts w:ascii="Georgia" w:hAnsi="Georgia"/>
          <w:color w:val="333333"/>
          <w:sz w:val="28"/>
          <w:szCs w:val="22"/>
        </w:rPr>
        <w:t xml:space="preserve"> </w:t>
      </w:r>
      <w:r w:rsidR="00741513" w:rsidRPr="00883D74">
        <w:rPr>
          <w:rFonts w:ascii="Georgia" w:hAnsi="Georgia"/>
          <w:color w:val="333333"/>
          <w:sz w:val="28"/>
          <w:szCs w:val="22"/>
        </w:rPr>
        <w:t xml:space="preserve"> 1</w:t>
      </w:r>
    </w:p>
    <w:p w:rsidR="00EC0C7E" w:rsidRDefault="006A28A6" w:rsidP="00741513">
      <w:pPr>
        <w:pStyle w:val="NormalWeb"/>
        <w:ind w:firstLine="720"/>
        <w:rPr>
          <w:rFonts w:ascii="Georgia" w:hAnsi="Georgia"/>
          <w:b/>
          <w:color w:val="333333"/>
          <w:sz w:val="28"/>
          <w:szCs w:val="22"/>
        </w:rPr>
      </w:pPr>
      <w:r w:rsidRPr="00EC0C7E">
        <w:rPr>
          <w:rFonts w:ascii="Georgia" w:hAnsi="Georgia"/>
          <w:b/>
          <w:color w:val="333333"/>
          <w:sz w:val="28"/>
          <w:szCs w:val="22"/>
        </w:rPr>
        <w:t xml:space="preserve">TMI-Alert </w:t>
      </w:r>
      <w:r w:rsidR="00951C35" w:rsidRPr="00EC0C7E">
        <w:rPr>
          <w:rFonts w:ascii="Georgia" w:hAnsi="Georgia"/>
          <w:b/>
          <w:color w:val="333333"/>
          <w:sz w:val="28"/>
          <w:szCs w:val="22"/>
        </w:rPr>
        <w:t xml:space="preserve"> (“TMIA”) </w:t>
      </w:r>
      <w:r w:rsidR="003D16A2" w:rsidRPr="00883D74">
        <w:rPr>
          <w:rFonts w:ascii="Georgia" w:hAnsi="Georgia"/>
          <w:b/>
          <w:color w:val="333333"/>
          <w:sz w:val="28"/>
          <w:szCs w:val="22"/>
        </w:rPr>
        <w:t>opposes raiding ratepayer funds to subsidize a core function of nuclear power plant operations. Every nuclear plant in Pennsylvania– with the e</w:t>
      </w:r>
      <w:r w:rsidR="00741513" w:rsidRPr="00883D74">
        <w:rPr>
          <w:rFonts w:ascii="Georgia" w:hAnsi="Georgia"/>
          <w:b/>
          <w:color w:val="333333"/>
          <w:sz w:val="28"/>
          <w:szCs w:val="22"/>
        </w:rPr>
        <w:t xml:space="preserve">xception of Three Mile Island - </w:t>
      </w:r>
      <w:r w:rsidR="003D16A2" w:rsidRPr="00883D74">
        <w:rPr>
          <w:rFonts w:ascii="Georgia" w:hAnsi="Georgia"/>
          <w:b/>
          <w:color w:val="333333"/>
          <w:sz w:val="28"/>
          <w:szCs w:val="22"/>
        </w:rPr>
        <w:t>has used corporate funds to constr</w:t>
      </w:r>
      <w:r w:rsidR="00AB3846" w:rsidRPr="00883D74">
        <w:rPr>
          <w:rFonts w:ascii="Georgia" w:hAnsi="Georgia"/>
          <w:b/>
          <w:color w:val="333333"/>
          <w:sz w:val="28"/>
          <w:szCs w:val="22"/>
        </w:rPr>
        <w:t>uct spent fuel dry casks</w:t>
      </w:r>
      <w:r w:rsidR="003D16A2" w:rsidRPr="00883D74">
        <w:rPr>
          <w:rFonts w:ascii="Georgia" w:hAnsi="Georgia"/>
          <w:b/>
          <w:color w:val="333333"/>
          <w:sz w:val="28"/>
          <w:szCs w:val="22"/>
        </w:rPr>
        <w:t xml:space="preserve"> including Beaver Valley</w:t>
      </w:r>
      <w:r w:rsidR="00EC0C7E">
        <w:rPr>
          <w:rFonts w:ascii="Georgia" w:hAnsi="Georgia"/>
          <w:b/>
          <w:color w:val="333333"/>
          <w:sz w:val="28"/>
          <w:szCs w:val="22"/>
        </w:rPr>
        <w:t xml:space="preserve"> Power Station (“Beaver Valley”)</w:t>
      </w:r>
      <w:r w:rsidR="003D16A2" w:rsidRPr="00883D74">
        <w:rPr>
          <w:rFonts w:ascii="Georgia" w:hAnsi="Georgia"/>
          <w:b/>
          <w:color w:val="333333"/>
          <w:sz w:val="28"/>
          <w:szCs w:val="22"/>
        </w:rPr>
        <w:t xml:space="preserve">, </w:t>
      </w:r>
      <w:r w:rsidR="00EC0C7E">
        <w:rPr>
          <w:rFonts w:ascii="Georgia" w:hAnsi="Georgia"/>
          <w:b/>
          <w:color w:val="333333"/>
          <w:sz w:val="28"/>
          <w:szCs w:val="22"/>
        </w:rPr>
        <w:t>Limerick Generating Station (“</w:t>
      </w:r>
      <w:r w:rsidR="003D16A2" w:rsidRPr="00883D74">
        <w:rPr>
          <w:rFonts w:ascii="Georgia" w:hAnsi="Georgia"/>
          <w:b/>
          <w:color w:val="333333"/>
          <w:sz w:val="28"/>
          <w:szCs w:val="22"/>
        </w:rPr>
        <w:t>Limerick</w:t>
      </w:r>
      <w:r w:rsidR="00EC0C7E">
        <w:rPr>
          <w:rFonts w:ascii="Georgia" w:hAnsi="Georgia"/>
          <w:b/>
          <w:color w:val="333333"/>
          <w:sz w:val="28"/>
          <w:szCs w:val="22"/>
        </w:rPr>
        <w:t>”)</w:t>
      </w:r>
      <w:r w:rsidR="003D16A2" w:rsidRPr="00883D74">
        <w:rPr>
          <w:rFonts w:ascii="Georgia" w:hAnsi="Georgia"/>
          <w:b/>
          <w:color w:val="333333"/>
          <w:sz w:val="28"/>
          <w:szCs w:val="22"/>
        </w:rPr>
        <w:t>, P</w:t>
      </w:r>
      <w:r w:rsidR="00AF6075" w:rsidRPr="00883D74">
        <w:rPr>
          <w:rFonts w:ascii="Georgia" w:hAnsi="Georgia"/>
          <w:b/>
          <w:color w:val="333333"/>
          <w:sz w:val="28"/>
          <w:szCs w:val="22"/>
        </w:rPr>
        <w:t>each Bottom</w:t>
      </w:r>
      <w:r w:rsidR="00EC0C7E">
        <w:rPr>
          <w:rFonts w:ascii="Georgia" w:hAnsi="Georgia"/>
          <w:b/>
          <w:color w:val="333333"/>
          <w:sz w:val="28"/>
          <w:szCs w:val="22"/>
        </w:rPr>
        <w:t xml:space="preserve"> Atomic Power Station (“Peach Bottom”)</w:t>
      </w:r>
      <w:r w:rsidR="00AF6075" w:rsidRPr="00883D74">
        <w:rPr>
          <w:rFonts w:ascii="Georgia" w:hAnsi="Georgia"/>
          <w:b/>
          <w:color w:val="333333"/>
          <w:sz w:val="28"/>
          <w:szCs w:val="22"/>
        </w:rPr>
        <w:t>, and Susquehanna</w:t>
      </w:r>
      <w:r w:rsidR="00EC0C7E">
        <w:rPr>
          <w:rFonts w:ascii="Georgia" w:hAnsi="Georgia"/>
          <w:b/>
          <w:color w:val="333333"/>
          <w:sz w:val="28"/>
          <w:szCs w:val="22"/>
        </w:rPr>
        <w:t xml:space="preserve"> Steam Electric Station (“Susquehanna”)</w:t>
      </w:r>
      <w:r w:rsidR="006F381C" w:rsidRPr="00883D74">
        <w:rPr>
          <w:rFonts w:ascii="Georgia" w:hAnsi="Georgia"/>
          <w:b/>
          <w:color w:val="333333"/>
          <w:sz w:val="28"/>
          <w:szCs w:val="22"/>
        </w:rPr>
        <w:t>.</w:t>
      </w:r>
      <w:r w:rsidR="003D16A2" w:rsidRPr="00883D74">
        <w:rPr>
          <w:rFonts w:ascii="Georgia" w:hAnsi="Georgia"/>
          <w:b/>
          <w:color w:val="333333"/>
          <w:sz w:val="28"/>
          <w:szCs w:val="22"/>
        </w:rPr>
        <w:t xml:space="preserve"> </w:t>
      </w:r>
    </w:p>
    <w:p w:rsidR="00FB6B99" w:rsidRDefault="003D16A2" w:rsidP="00FB6B99">
      <w:pPr>
        <w:pStyle w:val="NormalWeb"/>
        <w:ind w:firstLine="720"/>
        <w:rPr>
          <w:rFonts w:ascii="Georgia" w:hAnsi="Georgia"/>
          <w:b/>
          <w:color w:val="333333"/>
          <w:sz w:val="28"/>
          <w:szCs w:val="22"/>
        </w:rPr>
      </w:pPr>
      <w:r w:rsidRPr="00883D74">
        <w:rPr>
          <w:rFonts w:ascii="Georgia" w:hAnsi="Georgia"/>
          <w:b/>
          <w:color w:val="333333"/>
          <w:sz w:val="28"/>
          <w:szCs w:val="22"/>
        </w:rPr>
        <w:t>Exelon has intentionall</w:t>
      </w:r>
      <w:r w:rsidR="00AB3846" w:rsidRPr="00883D74">
        <w:rPr>
          <w:rFonts w:ascii="Georgia" w:hAnsi="Georgia"/>
          <w:b/>
          <w:color w:val="333333"/>
          <w:sz w:val="28"/>
          <w:szCs w:val="22"/>
        </w:rPr>
        <w:t>y delayed dry cask construction</w:t>
      </w:r>
      <w:r w:rsidRPr="00883D74">
        <w:rPr>
          <w:rFonts w:ascii="Georgia" w:hAnsi="Georgia"/>
          <w:b/>
          <w:color w:val="333333"/>
          <w:sz w:val="28"/>
          <w:szCs w:val="22"/>
        </w:rPr>
        <w:t xml:space="preserve"> to provoke</w:t>
      </w:r>
      <w:r w:rsidR="006F381C" w:rsidRPr="00883D74">
        <w:rPr>
          <w:rFonts w:ascii="Georgia" w:hAnsi="Georgia"/>
          <w:b/>
          <w:color w:val="333333"/>
          <w:sz w:val="28"/>
          <w:szCs w:val="22"/>
        </w:rPr>
        <w:t xml:space="preserve"> a radioactive waste crisis. Exelon</w:t>
      </w:r>
      <w:r w:rsidR="00AB3846" w:rsidRPr="00883D74">
        <w:rPr>
          <w:rFonts w:ascii="Georgia" w:hAnsi="Georgia"/>
          <w:b/>
          <w:color w:val="333333"/>
          <w:sz w:val="28"/>
          <w:szCs w:val="22"/>
        </w:rPr>
        <w:t>, at peril to the community,</w:t>
      </w:r>
      <w:r w:rsidR="006F381C" w:rsidRPr="00883D74">
        <w:rPr>
          <w:rFonts w:ascii="Georgia" w:hAnsi="Georgia"/>
          <w:b/>
          <w:color w:val="333333"/>
          <w:sz w:val="28"/>
          <w:szCs w:val="22"/>
        </w:rPr>
        <w:t xml:space="preserve"> is </w:t>
      </w:r>
      <w:r w:rsidRPr="00883D74">
        <w:rPr>
          <w:rFonts w:ascii="Georgia" w:hAnsi="Georgia"/>
          <w:b/>
          <w:color w:val="333333"/>
          <w:sz w:val="28"/>
          <w:szCs w:val="22"/>
        </w:rPr>
        <w:t>exploit</w:t>
      </w:r>
      <w:r w:rsidR="006F381C" w:rsidRPr="00883D74">
        <w:rPr>
          <w:rFonts w:ascii="Georgia" w:hAnsi="Georgia"/>
          <w:b/>
          <w:color w:val="333333"/>
          <w:sz w:val="28"/>
          <w:szCs w:val="22"/>
        </w:rPr>
        <w:t>ing</w:t>
      </w:r>
      <w:r w:rsidRPr="00883D74">
        <w:rPr>
          <w:rFonts w:ascii="Georgia" w:hAnsi="Georgia"/>
          <w:b/>
          <w:color w:val="333333"/>
          <w:sz w:val="28"/>
          <w:szCs w:val="22"/>
        </w:rPr>
        <w:t xml:space="preserve"> the situation to raid hostage </w:t>
      </w:r>
      <w:r w:rsidR="00FB6B99">
        <w:rPr>
          <w:rFonts w:ascii="Georgia" w:hAnsi="Georgia"/>
          <w:b/>
          <w:color w:val="333333"/>
          <w:sz w:val="28"/>
          <w:szCs w:val="22"/>
        </w:rPr>
        <w:t xml:space="preserve"> </w:t>
      </w:r>
    </w:p>
    <w:p w:rsidR="003D16A2" w:rsidRPr="00883D74" w:rsidRDefault="006E4CBE" w:rsidP="00890178">
      <w:pPr>
        <w:pStyle w:val="NormalWeb"/>
        <w:ind w:firstLine="720"/>
        <w:rPr>
          <w:rFonts w:ascii="Georgia" w:hAnsi="Georgia"/>
          <w:b/>
          <w:color w:val="222222"/>
          <w:sz w:val="28"/>
        </w:rPr>
      </w:pPr>
      <w:r w:rsidRPr="00883D74">
        <w:rPr>
          <w:rFonts w:ascii="Georgia" w:hAnsi="Georgia"/>
          <w:b/>
          <w:color w:val="303030"/>
          <w:sz w:val="28"/>
          <w:szCs w:val="22"/>
        </w:rPr>
        <w:t>The</w:t>
      </w:r>
      <w:r w:rsidRPr="00883D74">
        <w:rPr>
          <w:rFonts w:ascii="Georgia" w:hAnsi="Georgia"/>
          <w:b/>
          <w:color w:val="353535"/>
          <w:sz w:val="28"/>
        </w:rPr>
        <w:t xml:space="preserve"> data Exelon provided to the NRC is inconsistent and omits information contained in </w:t>
      </w:r>
      <w:r w:rsidR="00AB3846" w:rsidRPr="00883D74">
        <w:rPr>
          <w:rFonts w:ascii="Georgia" w:hAnsi="Georgia"/>
          <w:b/>
          <w:color w:val="353535"/>
          <w:sz w:val="28"/>
        </w:rPr>
        <w:t xml:space="preserve">SEC filings and </w:t>
      </w:r>
      <w:r w:rsidRPr="00883D74">
        <w:rPr>
          <w:rFonts w:ascii="Georgia" w:hAnsi="Georgia"/>
          <w:b/>
          <w:color w:val="353535"/>
          <w:sz w:val="28"/>
        </w:rPr>
        <w:t>Exelon’s 2017 and 2018 Annul Reports.</w:t>
      </w:r>
      <w:r w:rsidR="003E1D53">
        <w:rPr>
          <w:rFonts w:ascii="Georgia" w:hAnsi="Georgia"/>
          <w:color w:val="303030"/>
          <w:sz w:val="28"/>
          <w:szCs w:val="22"/>
        </w:rPr>
        <w:t xml:space="preserve"> </w:t>
      </w:r>
      <w:r w:rsidR="00AB3846" w:rsidRPr="00F40340">
        <w:rPr>
          <w:rFonts w:ascii="Georgia" w:hAnsi="Georgia"/>
          <w:color w:val="353535"/>
          <w:sz w:val="28"/>
        </w:rPr>
        <w:t>R</w:t>
      </w:r>
      <w:r w:rsidRPr="00F40340">
        <w:rPr>
          <w:rFonts w:ascii="Georgia" w:hAnsi="Georgia"/>
          <w:color w:val="353535"/>
          <w:sz w:val="28"/>
        </w:rPr>
        <w:t xml:space="preserve">efer to discussions under “Nuclear Waste Storage and Disposal,” “Nuclear Insurance,” “Decommissioning,” “Asset Retirement Obligations,” “NRC Minimum Funding Requirements,” and  “Asset Retirement </w:t>
      </w:r>
      <w:r w:rsidR="00FB6B99">
        <w:rPr>
          <w:rFonts w:ascii="Georgia" w:hAnsi="Georgia"/>
          <w:color w:val="353535"/>
          <w:sz w:val="28"/>
        </w:rPr>
        <w:t xml:space="preserve"> </w:t>
      </w:r>
      <w:r w:rsidR="00FB6B99">
        <w:rPr>
          <w:rFonts w:ascii="Georgia" w:hAnsi="Georgia"/>
          <w:b/>
          <w:color w:val="303030"/>
          <w:sz w:val="28"/>
          <w:szCs w:val="22"/>
        </w:rPr>
        <w:t xml:space="preserve"> </w:t>
      </w:r>
    </w:p>
    <w:p w:rsidR="00D509D3" w:rsidRPr="00883D74" w:rsidRDefault="003D16A2" w:rsidP="009A44F5">
      <w:pPr>
        <w:ind w:firstLine="720"/>
        <w:rPr>
          <w:rFonts w:ascii="Georgia" w:hAnsi="Georgia"/>
          <w:color w:val="222222"/>
          <w:sz w:val="28"/>
        </w:rPr>
      </w:pPr>
      <w:r w:rsidRPr="00883D74">
        <w:rPr>
          <w:rFonts w:ascii="Georgia" w:hAnsi="Georgia"/>
          <w:color w:val="222222"/>
          <w:sz w:val="28"/>
        </w:rPr>
        <w:t>“Exelon maintains two separate trusts for this purpose, a tax qualified fund (</w:t>
      </w:r>
      <w:r w:rsidR="005F1608" w:rsidRPr="00883D74">
        <w:rPr>
          <w:rFonts w:ascii="Georgia" w:hAnsi="Georgia"/>
          <w:color w:val="222222"/>
          <w:sz w:val="28"/>
        </w:rPr>
        <w:t>“</w:t>
      </w:r>
      <w:r w:rsidRPr="00883D74">
        <w:rPr>
          <w:rFonts w:ascii="Georgia" w:hAnsi="Georgia"/>
          <w:color w:val="222222"/>
          <w:sz w:val="28"/>
        </w:rPr>
        <w:t>Qualified Trust</w:t>
      </w:r>
      <w:r w:rsidR="005F1608" w:rsidRPr="00883D74">
        <w:rPr>
          <w:rFonts w:ascii="Georgia" w:hAnsi="Georgia"/>
          <w:color w:val="222222"/>
          <w:sz w:val="28"/>
        </w:rPr>
        <w:t>”</w:t>
      </w:r>
      <w:r w:rsidRPr="00883D74">
        <w:rPr>
          <w:rFonts w:ascii="Georgia" w:hAnsi="Georgia"/>
          <w:color w:val="222222"/>
          <w:sz w:val="28"/>
        </w:rPr>
        <w:t>) and a non-tax qualified fund (</w:t>
      </w:r>
      <w:r w:rsidR="005F1608" w:rsidRPr="00883D74">
        <w:rPr>
          <w:rFonts w:ascii="Georgia" w:hAnsi="Georgia"/>
          <w:color w:val="222222"/>
          <w:sz w:val="28"/>
        </w:rPr>
        <w:t>“</w:t>
      </w:r>
      <w:r w:rsidRPr="00883D74">
        <w:rPr>
          <w:rFonts w:ascii="Georgia" w:hAnsi="Georgia"/>
          <w:color w:val="222222"/>
          <w:sz w:val="28"/>
        </w:rPr>
        <w:t>Non-Qualified Trust</w:t>
      </w:r>
      <w:r w:rsidR="005F1608" w:rsidRPr="00883D74">
        <w:rPr>
          <w:rFonts w:ascii="Georgia" w:hAnsi="Georgia"/>
          <w:color w:val="222222"/>
          <w:sz w:val="28"/>
        </w:rPr>
        <w:t>”</w:t>
      </w:r>
      <w:r w:rsidRPr="00883D74">
        <w:rPr>
          <w:rFonts w:ascii="Georgia" w:hAnsi="Georgia"/>
          <w:color w:val="222222"/>
          <w:sz w:val="28"/>
        </w:rPr>
        <w:t>). The trustee for both funds is Northern Trust Bank. As of December 31, 2018, the DTF has a total balance of</w:t>
      </w:r>
      <w:r w:rsidRPr="00883D74">
        <w:rPr>
          <w:rFonts w:ascii="Georgia" w:hAnsi="Georgia"/>
          <w:b/>
          <w:color w:val="222222"/>
          <w:sz w:val="28"/>
        </w:rPr>
        <w:t xml:space="preserve"> $669,617,000</w:t>
      </w:r>
      <w:r w:rsidRPr="00883D74">
        <w:rPr>
          <w:rFonts w:ascii="Georgia" w:hAnsi="Georgia"/>
          <w:color w:val="222222"/>
          <w:sz w:val="28"/>
        </w:rPr>
        <w:t xml:space="preserve">. The </w:t>
      </w:r>
      <w:r w:rsidR="005F1608" w:rsidRPr="00883D74">
        <w:rPr>
          <w:rFonts w:ascii="Georgia" w:hAnsi="Georgia"/>
          <w:color w:val="222222"/>
          <w:sz w:val="28"/>
        </w:rPr>
        <w:t>in</w:t>
      </w:r>
      <w:r w:rsidRPr="00883D74">
        <w:rPr>
          <w:rFonts w:ascii="Georgia" w:hAnsi="Georgia"/>
          <w:color w:val="222222"/>
          <w:sz w:val="28"/>
        </w:rPr>
        <w:t>adequ</w:t>
      </w:r>
      <w:r w:rsidR="005F1608" w:rsidRPr="00883D74">
        <w:rPr>
          <w:rFonts w:ascii="Georgia" w:hAnsi="Georgia"/>
          <w:color w:val="222222"/>
          <w:sz w:val="28"/>
        </w:rPr>
        <w:t xml:space="preserve">acy of these funds to cover the </w:t>
      </w:r>
      <w:r w:rsidR="005F1608" w:rsidRPr="00883D74">
        <w:rPr>
          <w:rFonts w:ascii="Georgia" w:hAnsi="Georgia"/>
          <w:b/>
          <w:color w:val="222222"/>
          <w:sz w:val="28"/>
        </w:rPr>
        <w:t xml:space="preserve">minimal </w:t>
      </w:r>
      <w:r w:rsidR="00E075F5">
        <w:rPr>
          <w:rFonts w:ascii="Georgia" w:hAnsi="Georgia"/>
          <w:b/>
          <w:color w:val="222222"/>
          <w:sz w:val="28"/>
        </w:rPr>
        <w:t xml:space="preserve">amount </w:t>
      </w:r>
      <w:r w:rsidR="005F1608" w:rsidRPr="00883D74">
        <w:rPr>
          <w:rFonts w:ascii="Georgia" w:hAnsi="Georgia"/>
          <w:b/>
          <w:color w:val="222222"/>
          <w:sz w:val="28"/>
        </w:rPr>
        <w:t>projected</w:t>
      </w:r>
      <w:r w:rsidR="005F1608" w:rsidRPr="00883D74">
        <w:rPr>
          <w:rFonts w:ascii="Georgia" w:hAnsi="Georgia"/>
          <w:color w:val="222222"/>
          <w:sz w:val="28"/>
        </w:rPr>
        <w:t xml:space="preserve"> for </w:t>
      </w:r>
      <w:r w:rsidR="002049E3" w:rsidRPr="00883D74">
        <w:rPr>
          <w:rFonts w:ascii="Georgia" w:hAnsi="Georgia"/>
          <w:color w:val="222222"/>
          <w:sz w:val="28"/>
        </w:rPr>
        <w:t>non-</w:t>
      </w:r>
      <w:r w:rsidRPr="00883D74">
        <w:rPr>
          <w:rFonts w:ascii="Georgia" w:hAnsi="Georgia"/>
          <w:color w:val="222222"/>
          <w:sz w:val="28"/>
        </w:rPr>
        <w:t xml:space="preserve">radiological decommissioning </w:t>
      </w:r>
      <w:r w:rsidR="002049E3" w:rsidRPr="00883D74">
        <w:rPr>
          <w:rFonts w:ascii="Georgia" w:hAnsi="Georgia"/>
          <w:color w:val="222222"/>
          <w:sz w:val="28"/>
        </w:rPr>
        <w:t xml:space="preserve">and Greenfield </w:t>
      </w:r>
      <w:r w:rsidRPr="00883D74">
        <w:rPr>
          <w:rFonts w:ascii="Georgia" w:hAnsi="Georgia"/>
          <w:color w:val="222222"/>
          <w:sz w:val="28"/>
        </w:rPr>
        <w:t xml:space="preserve">costs </w:t>
      </w:r>
      <w:r w:rsidR="005F1608" w:rsidRPr="00883D74">
        <w:rPr>
          <w:rFonts w:ascii="Georgia" w:hAnsi="Georgia"/>
          <w:color w:val="222222"/>
          <w:sz w:val="28"/>
        </w:rPr>
        <w:t xml:space="preserve">is </w:t>
      </w:r>
      <w:r w:rsidR="00D1364F" w:rsidRPr="00883D74">
        <w:rPr>
          <w:rFonts w:ascii="Georgia" w:hAnsi="Georgia"/>
          <w:color w:val="222222"/>
          <w:sz w:val="28"/>
        </w:rPr>
        <w:t>shown in Table 2.2</w:t>
      </w:r>
      <w:proofErr w:type="gramStart"/>
      <w:r w:rsidR="00CB66DA" w:rsidRPr="00883D74">
        <w:rPr>
          <w:rFonts w:ascii="Georgia" w:hAnsi="Georgia"/>
          <w:color w:val="222222"/>
          <w:sz w:val="28"/>
        </w:rPr>
        <w:t>.,</w:t>
      </w:r>
      <w:proofErr w:type="gramEnd"/>
      <w:r w:rsidR="00CB66DA" w:rsidRPr="00883D74">
        <w:rPr>
          <w:rFonts w:ascii="Georgia" w:hAnsi="Georgia"/>
          <w:color w:val="222222"/>
          <w:sz w:val="28"/>
        </w:rPr>
        <w:t xml:space="preserve"> and these funds are exposed to changing tax protocols.</w:t>
      </w:r>
    </w:p>
    <w:p w:rsidR="00464659" w:rsidRDefault="00E075F5" w:rsidP="00464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olor w:val="222222"/>
          <w:sz w:val="28"/>
        </w:rPr>
      </w:pPr>
      <w:r>
        <w:rPr>
          <w:rFonts w:ascii="Georgia" w:hAnsi="Georgia"/>
          <w:color w:val="222222"/>
          <w:sz w:val="28"/>
        </w:rPr>
        <w:t xml:space="preserve"> </w:t>
      </w:r>
    </w:p>
    <w:p w:rsidR="00D509D3" w:rsidRPr="00FB6B99" w:rsidRDefault="00464659" w:rsidP="00A87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imes New Roman" w:hAnsi="Georgia" w:cs="Arial"/>
          <w:sz w:val="28"/>
        </w:rPr>
      </w:pPr>
      <w:r>
        <w:rPr>
          <w:rFonts w:ascii="Georgia" w:hAnsi="Georgia" w:cs="Arial"/>
          <w:color w:val="262626"/>
          <w:sz w:val="28"/>
          <w:szCs w:val="28"/>
        </w:rPr>
        <w:tab/>
      </w:r>
      <w:r w:rsidR="00D509D3" w:rsidRPr="00883D74">
        <w:rPr>
          <w:rFonts w:ascii="Georgia" w:hAnsi="Georgia" w:cs="Arial"/>
          <w:color w:val="262626"/>
          <w:sz w:val="28"/>
          <w:szCs w:val="28"/>
        </w:rPr>
        <w:t>“When asked by a member of the public why the approximately $670 million in the fund as of December does not seem to cover the cost estimates of more than $1 billion for decommissioning, about $158 million for fuel management and about $86 million for site restoration, officials said funds would continue to accrue over many years.” (</w:t>
      </w:r>
      <w:r w:rsidR="009A44F5">
        <w:rPr>
          <w:rFonts w:ascii="Georgia" w:hAnsi="Georgia" w:cs="Arial"/>
          <w:color w:val="262626"/>
          <w:sz w:val="28"/>
          <w:szCs w:val="28"/>
        </w:rPr>
        <w:t xml:space="preserve">“York Dispatch,” </w:t>
      </w:r>
      <w:r w:rsidR="000E1AD7">
        <w:rPr>
          <w:rFonts w:ascii="Georgia" w:hAnsi="Georgia" w:cs="Arial"/>
          <w:color w:val="262626"/>
          <w:sz w:val="28"/>
          <w:szCs w:val="28"/>
        </w:rPr>
        <w:t xml:space="preserve">July, 18, 2019.) </w:t>
      </w:r>
      <w:r w:rsidR="00C17087" w:rsidRPr="00883D74">
        <w:rPr>
          <w:rFonts w:ascii="Georgia" w:hAnsi="Georgia"/>
          <w:b/>
          <w:color w:val="222222"/>
          <w:sz w:val="28"/>
        </w:rPr>
        <w:t>By its</w:t>
      </w:r>
      <w:r w:rsidR="00A879DD" w:rsidRPr="00883D74">
        <w:rPr>
          <w:rFonts w:ascii="Georgia" w:hAnsi="Georgia"/>
          <w:b/>
          <w:color w:val="222222"/>
          <w:sz w:val="28"/>
        </w:rPr>
        <w:t xml:space="preserve"> own admission</w:t>
      </w:r>
      <w:r>
        <w:rPr>
          <w:rFonts w:ascii="Georgia" w:hAnsi="Georgia"/>
          <w:b/>
          <w:color w:val="222222"/>
          <w:sz w:val="28"/>
        </w:rPr>
        <w:t xml:space="preserve"> in</w:t>
      </w:r>
      <w:r w:rsidR="00A879DD" w:rsidRPr="00883D74">
        <w:rPr>
          <w:rFonts w:ascii="Georgia" w:hAnsi="Georgia"/>
          <w:b/>
          <w:color w:val="222222"/>
          <w:sz w:val="28"/>
        </w:rPr>
        <w:t xml:space="preserve"> </w:t>
      </w:r>
      <w:r w:rsidR="00CB66DA" w:rsidRPr="00883D74">
        <w:rPr>
          <w:rFonts w:ascii="Georgia" w:hAnsi="Georgia"/>
          <w:b/>
          <w:color w:val="222222"/>
          <w:sz w:val="28"/>
        </w:rPr>
        <w:t xml:space="preserve">the </w:t>
      </w:r>
      <w:r w:rsidR="00323DE1" w:rsidRPr="00883D74">
        <w:rPr>
          <w:rFonts w:ascii="Georgia" w:hAnsi="Georgia" w:cs="Helvetica"/>
          <w:b/>
          <w:color w:val="262626"/>
          <w:sz w:val="28"/>
          <w:szCs w:val="21"/>
        </w:rPr>
        <w:t>Post-Shutdown Decommissioning Activities Report</w:t>
      </w:r>
      <w:r w:rsidR="00AB3E18">
        <w:rPr>
          <w:rFonts w:ascii="Georgia" w:hAnsi="Georgia" w:cs="Helvetica"/>
          <w:b/>
          <w:color w:val="262626"/>
          <w:sz w:val="28"/>
          <w:szCs w:val="21"/>
        </w:rPr>
        <w:t xml:space="preserve"> (“PSDAR”)</w:t>
      </w:r>
      <w:r w:rsidR="00CB66DA" w:rsidRPr="00883D74">
        <w:rPr>
          <w:rFonts w:ascii="Georgia" w:hAnsi="Georgia" w:cs="Helvetica"/>
          <w:b/>
          <w:color w:val="262626"/>
          <w:sz w:val="28"/>
          <w:szCs w:val="21"/>
        </w:rPr>
        <w:t xml:space="preserve">, </w:t>
      </w:r>
      <w:r w:rsidR="00C17087" w:rsidRPr="00883D74">
        <w:rPr>
          <w:rFonts w:ascii="Georgia" w:hAnsi="Georgia"/>
          <w:b/>
          <w:color w:val="222222"/>
          <w:sz w:val="28"/>
        </w:rPr>
        <w:t xml:space="preserve">Exelon’s </w:t>
      </w:r>
      <w:r w:rsidR="002049E3" w:rsidRPr="00883D74">
        <w:rPr>
          <w:rFonts w:ascii="Georgia" w:hAnsi="Georgia"/>
          <w:b/>
          <w:color w:val="222222"/>
          <w:sz w:val="28"/>
        </w:rPr>
        <w:t xml:space="preserve">projections are based on </w:t>
      </w:r>
      <w:r w:rsidR="00CB66DA" w:rsidRPr="00883D74">
        <w:rPr>
          <w:rFonts w:ascii="Georgia" w:hAnsi="Georgia"/>
          <w:b/>
          <w:color w:val="222222"/>
          <w:sz w:val="28"/>
        </w:rPr>
        <w:t xml:space="preserve">low-end </w:t>
      </w:r>
      <w:r w:rsidR="002049E3" w:rsidRPr="00883D74">
        <w:rPr>
          <w:rFonts w:ascii="Georgia" w:hAnsi="Georgia"/>
          <w:b/>
          <w:color w:val="222222"/>
          <w:sz w:val="28"/>
        </w:rPr>
        <w:t>estimates</w:t>
      </w:r>
      <w:r w:rsidR="00CB66DA" w:rsidRPr="00883D74">
        <w:rPr>
          <w:rFonts w:ascii="Georgia" w:hAnsi="Georgia"/>
          <w:b/>
          <w:color w:val="222222"/>
          <w:sz w:val="28"/>
        </w:rPr>
        <w:t>, i.e., “minimal savings</w:t>
      </w:r>
      <w:r>
        <w:rPr>
          <w:rFonts w:ascii="Georgia" w:hAnsi="Georgia"/>
          <w:b/>
          <w:color w:val="222222"/>
          <w:sz w:val="28"/>
        </w:rPr>
        <w:t>”</w:t>
      </w:r>
      <w:r w:rsidR="00CB66DA" w:rsidRPr="00883D74">
        <w:rPr>
          <w:rFonts w:ascii="Georgia" w:hAnsi="Georgia"/>
          <w:b/>
          <w:color w:val="222222"/>
          <w:sz w:val="28"/>
        </w:rPr>
        <w:t xml:space="preserve">, which </w:t>
      </w:r>
      <w:r>
        <w:rPr>
          <w:rFonts w:ascii="Georgia" w:hAnsi="Georgia"/>
          <w:b/>
          <w:color w:val="222222"/>
          <w:sz w:val="28"/>
        </w:rPr>
        <w:t>are in turn</w:t>
      </w:r>
      <w:r w:rsidR="00E075F5">
        <w:rPr>
          <w:rFonts w:ascii="Georgia" w:hAnsi="Georgia"/>
          <w:b/>
          <w:color w:val="222222"/>
          <w:sz w:val="28"/>
        </w:rPr>
        <w:t xml:space="preserve"> </w:t>
      </w:r>
      <w:r>
        <w:rPr>
          <w:rFonts w:ascii="Georgia" w:hAnsi="Georgia"/>
          <w:b/>
          <w:color w:val="222222"/>
          <w:sz w:val="28"/>
        </w:rPr>
        <w:t xml:space="preserve">contingent on </w:t>
      </w:r>
      <w:proofErr w:type="spellStart"/>
      <w:r w:rsidR="002049E3" w:rsidRPr="00883D74">
        <w:rPr>
          <w:rFonts w:ascii="Georgia" w:hAnsi="Georgia"/>
          <w:b/>
          <w:color w:val="222222"/>
          <w:sz w:val="28"/>
        </w:rPr>
        <w:t>guestimates</w:t>
      </w:r>
      <w:proofErr w:type="spellEnd"/>
      <w:r w:rsidR="002049E3" w:rsidRPr="00883D74">
        <w:rPr>
          <w:rFonts w:ascii="Georgia" w:hAnsi="Georgia"/>
          <w:b/>
          <w:color w:val="222222"/>
          <w:sz w:val="28"/>
        </w:rPr>
        <w:t xml:space="preserve"> of future economic behaviors.</w:t>
      </w:r>
      <w:r w:rsidR="002049E3" w:rsidRPr="00883D74">
        <w:rPr>
          <w:rFonts w:ascii="Georgia" w:hAnsi="Georgia"/>
          <w:color w:val="222222"/>
          <w:sz w:val="28"/>
        </w:rPr>
        <w:t xml:space="preserve"> </w:t>
      </w:r>
    </w:p>
    <w:p w:rsidR="00FB6B99" w:rsidRDefault="003E1D53" w:rsidP="00A87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olor w:val="222222"/>
          <w:sz w:val="28"/>
        </w:rPr>
      </w:pPr>
      <w:r>
        <w:rPr>
          <w:rFonts w:ascii="Georgia" w:hAnsi="Georgia"/>
          <w:color w:val="222222"/>
          <w:sz w:val="28"/>
        </w:rPr>
        <w:t xml:space="preserve"> </w:t>
      </w:r>
    </w:p>
    <w:p w:rsidR="00890178" w:rsidRDefault="00FB6B99" w:rsidP="00FB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olor w:val="222222"/>
          <w:sz w:val="28"/>
        </w:rPr>
      </w:pPr>
      <w:r>
        <w:rPr>
          <w:rFonts w:ascii="Georgia" w:hAnsi="Georgia"/>
          <w:color w:val="222222"/>
          <w:sz w:val="28"/>
        </w:rPr>
        <w:tab/>
      </w:r>
      <w:r>
        <w:rPr>
          <w:rFonts w:ascii="Georgia" w:hAnsi="Georgia"/>
          <w:color w:val="222222"/>
          <w:sz w:val="28"/>
        </w:rPr>
        <w:tab/>
      </w:r>
      <w:r>
        <w:rPr>
          <w:rFonts w:ascii="Georgia" w:hAnsi="Georgia"/>
          <w:color w:val="222222"/>
          <w:sz w:val="28"/>
        </w:rPr>
        <w:tab/>
      </w:r>
      <w:r>
        <w:rPr>
          <w:rFonts w:ascii="Georgia" w:hAnsi="Georgia"/>
          <w:color w:val="222222"/>
          <w:sz w:val="28"/>
        </w:rPr>
        <w:tab/>
      </w:r>
      <w:r>
        <w:rPr>
          <w:rFonts w:ascii="Georgia" w:hAnsi="Georgia"/>
          <w:color w:val="222222"/>
          <w:sz w:val="28"/>
        </w:rPr>
        <w:tab/>
      </w:r>
      <w:r>
        <w:rPr>
          <w:rFonts w:ascii="Georgia" w:hAnsi="Georgia"/>
          <w:color w:val="222222"/>
          <w:sz w:val="28"/>
        </w:rPr>
        <w:tab/>
      </w:r>
      <w:r>
        <w:rPr>
          <w:rFonts w:ascii="Georgia" w:hAnsi="Georgia"/>
          <w:color w:val="222222"/>
          <w:sz w:val="28"/>
        </w:rPr>
        <w:tab/>
      </w:r>
      <w:r>
        <w:rPr>
          <w:rFonts w:ascii="Georgia" w:hAnsi="Georgia"/>
          <w:color w:val="222222"/>
          <w:sz w:val="28"/>
        </w:rPr>
        <w:tab/>
      </w:r>
      <w:r>
        <w:rPr>
          <w:rFonts w:ascii="Georgia" w:hAnsi="Georgia"/>
          <w:color w:val="222222"/>
          <w:sz w:val="28"/>
        </w:rPr>
        <w:tab/>
      </w:r>
      <w:r w:rsidRPr="00FB6B99">
        <w:rPr>
          <w:rFonts w:ascii="Georgia" w:hAnsi="Georgia"/>
          <w:color w:val="222222"/>
          <w:sz w:val="28"/>
        </w:rPr>
        <w:t>2</w:t>
      </w:r>
    </w:p>
    <w:p w:rsidR="00464659" w:rsidRPr="00FB6B99" w:rsidRDefault="00464659" w:rsidP="00FB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olor w:val="222222"/>
          <w:sz w:val="28"/>
        </w:rPr>
      </w:pPr>
    </w:p>
    <w:p w:rsidR="00A879DD" w:rsidRPr="00464659" w:rsidRDefault="00FB6B99" w:rsidP="00464659">
      <w:pPr>
        <w:widowControl w:val="0"/>
        <w:autoSpaceDE w:val="0"/>
        <w:autoSpaceDN w:val="0"/>
        <w:adjustRightInd w:val="0"/>
        <w:spacing w:after="240"/>
        <w:ind w:firstLine="720"/>
        <w:rPr>
          <w:rFonts w:ascii="Helvetica" w:eastAsiaTheme="minorEastAsia" w:hAnsi="Helvetica" w:cs="Helvetica"/>
          <w:b/>
          <w:sz w:val="28"/>
        </w:rPr>
      </w:pPr>
      <w:proofErr w:type="gramStart"/>
      <w:r>
        <w:rPr>
          <w:rFonts w:ascii="Georgia" w:eastAsiaTheme="minorEastAsia" w:hAnsi="Georgia" w:cs="Helvetica"/>
          <w:color w:val="262626"/>
          <w:sz w:val="28"/>
          <w:szCs w:val="21"/>
        </w:rPr>
        <w:t>Nei</w:t>
      </w:r>
      <w:r w:rsidR="00464659">
        <w:rPr>
          <w:rFonts w:ascii="Georgia" w:eastAsiaTheme="minorEastAsia" w:hAnsi="Georgia" w:cs="Helvetica"/>
          <w:color w:val="262626"/>
          <w:sz w:val="28"/>
          <w:szCs w:val="21"/>
        </w:rPr>
        <w:t>ther Exelon or</w:t>
      </w:r>
      <w:proofErr w:type="gramEnd"/>
      <w:r w:rsidR="00464659">
        <w:rPr>
          <w:rFonts w:ascii="Georgia" w:eastAsiaTheme="minorEastAsia" w:hAnsi="Georgia" w:cs="Helvetica"/>
          <w:color w:val="262626"/>
          <w:sz w:val="28"/>
          <w:szCs w:val="21"/>
        </w:rPr>
        <w:t xml:space="preserve"> the NRC have defined “unrestricted use.” </w:t>
      </w:r>
      <w:proofErr w:type="gramStart"/>
      <w:r w:rsidR="00464659">
        <w:rPr>
          <w:rFonts w:ascii="Georgia" w:eastAsiaTheme="minorEastAsia" w:hAnsi="Georgia" w:cs="Helvetica"/>
          <w:color w:val="262626"/>
          <w:sz w:val="28"/>
          <w:szCs w:val="21"/>
        </w:rPr>
        <w:t>TMI  has</w:t>
      </w:r>
      <w:proofErr w:type="gramEnd"/>
      <w:r w:rsidR="00464659">
        <w:rPr>
          <w:rFonts w:ascii="Georgia" w:eastAsiaTheme="minorEastAsia" w:hAnsi="Georgia" w:cs="Helvetica"/>
          <w:color w:val="262626"/>
          <w:sz w:val="28"/>
          <w:szCs w:val="21"/>
        </w:rPr>
        <w:t xml:space="preserve"> been the location of a functioning industrial complex since 1974. </w:t>
      </w:r>
      <w:r w:rsidR="00464659" w:rsidRPr="00464659">
        <w:rPr>
          <w:rFonts w:ascii="Georgia" w:eastAsiaTheme="minorEastAsia" w:hAnsi="Georgia" w:cs="Helvetica"/>
          <w:b/>
          <w:color w:val="262626"/>
          <w:sz w:val="28"/>
          <w:szCs w:val="21"/>
        </w:rPr>
        <w:t xml:space="preserve">Projecting funding levels based on </w:t>
      </w:r>
      <w:proofErr w:type="gramStart"/>
      <w:r w:rsidR="00464659" w:rsidRPr="00464659">
        <w:rPr>
          <w:rFonts w:ascii="Georgia" w:eastAsiaTheme="minorEastAsia" w:hAnsi="Georgia" w:cs="Helvetica"/>
          <w:b/>
          <w:color w:val="262626"/>
          <w:sz w:val="28"/>
          <w:szCs w:val="21"/>
        </w:rPr>
        <w:t>ill defined</w:t>
      </w:r>
      <w:proofErr w:type="gramEnd"/>
      <w:r w:rsidR="00464659" w:rsidRPr="00464659">
        <w:rPr>
          <w:rFonts w:ascii="Georgia" w:eastAsiaTheme="minorEastAsia" w:hAnsi="Georgia" w:cs="Helvetica"/>
          <w:b/>
          <w:color w:val="262626"/>
          <w:sz w:val="28"/>
          <w:szCs w:val="21"/>
        </w:rPr>
        <w:t xml:space="preserve"> standards is a prescription for underfunding.</w:t>
      </w:r>
      <w:r w:rsidR="006F7B6D" w:rsidRPr="00464659">
        <w:rPr>
          <w:rFonts w:ascii="Georgia" w:eastAsiaTheme="minorEastAsia" w:hAnsi="Georgia" w:cs="Helvetica"/>
          <w:b/>
          <w:color w:val="262626"/>
          <w:sz w:val="28"/>
          <w:szCs w:val="21"/>
        </w:rPr>
        <w:tab/>
      </w:r>
      <w:r w:rsidR="00D1364F" w:rsidRPr="00464659">
        <w:rPr>
          <w:rFonts w:ascii="Georgia" w:eastAsiaTheme="minorEastAsia" w:hAnsi="Georgia" w:cs="Helvetica"/>
          <w:b/>
          <w:color w:val="262626"/>
          <w:sz w:val="28"/>
          <w:szCs w:val="21"/>
        </w:rPr>
        <w:tab/>
      </w:r>
      <w:r w:rsidR="00D1364F" w:rsidRPr="00464659">
        <w:rPr>
          <w:rFonts w:ascii="Georgia" w:eastAsiaTheme="minorEastAsia" w:hAnsi="Georgia" w:cs="Helvetica"/>
          <w:b/>
          <w:color w:val="262626"/>
          <w:sz w:val="28"/>
          <w:szCs w:val="21"/>
        </w:rPr>
        <w:tab/>
      </w:r>
      <w:r w:rsidR="00D1364F" w:rsidRPr="00464659">
        <w:rPr>
          <w:rFonts w:ascii="Georgia" w:eastAsiaTheme="minorEastAsia" w:hAnsi="Georgia" w:cs="Helvetica"/>
          <w:b/>
          <w:color w:val="262626"/>
          <w:sz w:val="28"/>
          <w:szCs w:val="21"/>
        </w:rPr>
        <w:tab/>
        <w:t xml:space="preserve"> </w:t>
      </w:r>
    </w:p>
    <w:p w:rsidR="000E1AD7" w:rsidRDefault="00A879DD" w:rsidP="00A87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color w:val="252525"/>
          <w:sz w:val="28"/>
          <w:szCs w:val="21"/>
        </w:rPr>
      </w:pPr>
      <w:r w:rsidRPr="00883D74">
        <w:rPr>
          <w:rFonts w:ascii="Georgia" w:eastAsiaTheme="minorEastAsia" w:hAnsi="Georgia" w:cs="Helvetica"/>
          <w:color w:val="262626"/>
          <w:sz w:val="28"/>
          <w:szCs w:val="21"/>
        </w:rPr>
        <w:tab/>
      </w:r>
      <w:r w:rsidRPr="00883D74">
        <w:rPr>
          <w:rFonts w:ascii="Georgia" w:eastAsiaTheme="minorEastAsia" w:hAnsi="Georgia" w:cs="Helvetica"/>
          <w:b/>
          <w:color w:val="252525"/>
          <w:sz w:val="28"/>
          <w:szCs w:val="21"/>
        </w:rPr>
        <w:t>After the NRC terminates the license, site restoration</w:t>
      </w:r>
      <w:r w:rsidR="00D509D3" w:rsidRPr="00883D74">
        <w:rPr>
          <w:rFonts w:ascii="Georgia" w:eastAsiaTheme="minorEastAsia" w:hAnsi="Georgia" w:cs="Helvetica"/>
          <w:b/>
          <w:color w:val="252525"/>
          <w:sz w:val="28"/>
          <w:szCs w:val="21"/>
        </w:rPr>
        <w:t xml:space="preserve"> </w:t>
      </w:r>
      <w:r w:rsidR="00464659">
        <w:rPr>
          <w:rFonts w:ascii="Georgia" w:eastAsiaTheme="minorEastAsia" w:hAnsi="Georgia" w:cs="Helvetica"/>
          <w:b/>
          <w:color w:val="252525"/>
          <w:sz w:val="28"/>
          <w:szCs w:val="21"/>
        </w:rPr>
        <w:t xml:space="preserve">(another term without a clear definition) will </w:t>
      </w:r>
      <w:r w:rsidR="00D509D3" w:rsidRPr="00883D74">
        <w:rPr>
          <w:rFonts w:ascii="Georgia" w:eastAsiaTheme="minorEastAsia" w:hAnsi="Georgia" w:cs="Helvetica"/>
          <w:b/>
          <w:color w:val="252525"/>
          <w:sz w:val="28"/>
          <w:szCs w:val="21"/>
        </w:rPr>
        <w:t>cost approxima</w:t>
      </w:r>
      <w:r w:rsidR="00CC2C6E" w:rsidRPr="00883D74">
        <w:rPr>
          <w:rFonts w:ascii="Georgia" w:eastAsiaTheme="minorEastAsia" w:hAnsi="Georgia" w:cs="Helvetica"/>
          <w:b/>
          <w:color w:val="252525"/>
          <w:sz w:val="28"/>
          <w:szCs w:val="21"/>
        </w:rPr>
        <w:t>tel</w:t>
      </w:r>
      <w:r w:rsidR="00D509D3" w:rsidRPr="00883D74">
        <w:rPr>
          <w:rFonts w:ascii="Georgia" w:eastAsiaTheme="minorEastAsia" w:hAnsi="Georgia" w:cs="Helvetica"/>
          <w:b/>
          <w:color w:val="252525"/>
          <w:sz w:val="28"/>
          <w:szCs w:val="21"/>
        </w:rPr>
        <w:t>y $86 million</w:t>
      </w:r>
      <w:r w:rsidR="00282621" w:rsidRPr="00883D74">
        <w:rPr>
          <w:rFonts w:ascii="Georgia" w:eastAsiaTheme="minorEastAsia" w:hAnsi="Georgia" w:cs="Helvetica"/>
          <w:b/>
          <w:color w:val="252525"/>
          <w:sz w:val="28"/>
          <w:szCs w:val="21"/>
        </w:rPr>
        <w:t xml:space="preserve"> </w:t>
      </w:r>
      <w:r w:rsidR="000E1AD7">
        <w:rPr>
          <w:rFonts w:ascii="Georgia" w:eastAsiaTheme="minorEastAsia" w:hAnsi="Georgia" w:cs="Helvetica"/>
          <w:b/>
          <w:color w:val="252525"/>
          <w:sz w:val="28"/>
          <w:szCs w:val="21"/>
        </w:rPr>
        <w:t xml:space="preserve">and </w:t>
      </w:r>
      <w:r w:rsidR="00282621" w:rsidRPr="00883D74">
        <w:rPr>
          <w:rFonts w:ascii="Georgia" w:eastAsiaTheme="minorEastAsia" w:hAnsi="Georgia" w:cs="Helvetica"/>
          <w:b/>
          <w:color w:val="252525"/>
          <w:sz w:val="28"/>
          <w:szCs w:val="21"/>
        </w:rPr>
        <w:t xml:space="preserve">is </w:t>
      </w:r>
      <w:r w:rsidR="00CB66DA" w:rsidRPr="00883D74">
        <w:rPr>
          <w:rFonts w:ascii="Georgia" w:eastAsiaTheme="minorEastAsia" w:hAnsi="Georgia" w:cs="Helvetica"/>
          <w:b/>
          <w:color w:val="252525"/>
          <w:sz w:val="28"/>
          <w:szCs w:val="21"/>
        </w:rPr>
        <w:t xml:space="preserve">not </w:t>
      </w:r>
      <w:r w:rsidR="00D509D3" w:rsidRPr="00883D74">
        <w:rPr>
          <w:rFonts w:ascii="Georgia" w:eastAsiaTheme="minorEastAsia" w:hAnsi="Georgia" w:cs="Helvetica"/>
          <w:b/>
          <w:color w:val="252525"/>
          <w:sz w:val="28"/>
          <w:szCs w:val="21"/>
        </w:rPr>
        <w:t>adequately funded. T</w:t>
      </w:r>
      <w:r w:rsidR="00CB66DA" w:rsidRPr="00883D74">
        <w:rPr>
          <w:rFonts w:ascii="Georgia" w:eastAsiaTheme="minorEastAsia" w:hAnsi="Georgia" w:cs="Helvetica"/>
          <w:b/>
          <w:color w:val="252525"/>
          <w:sz w:val="28"/>
          <w:szCs w:val="21"/>
        </w:rPr>
        <w:t xml:space="preserve">he </w:t>
      </w:r>
      <w:r w:rsidR="00464659">
        <w:rPr>
          <w:rFonts w:ascii="Georgia" w:eastAsiaTheme="minorEastAsia" w:hAnsi="Georgia" w:cs="Helvetica"/>
          <w:b/>
          <w:color w:val="252525"/>
          <w:sz w:val="28"/>
          <w:szCs w:val="21"/>
        </w:rPr>
        <w:t xml:space="preserve">metrics for the </w:t>
      </w:r>
      <w:r w:rsidR="00CB66DA" w:rsidRPr="00883D74">
        <w:rPr>
          <w:rFonts w:ascii="Georgia" w:eastAsiaTheme="minorEastAsia" w:hAnsi="Georgia" w:cs="Helvetica"/>
          <w:b/>
          <w:color w:val="252525"/>
          <w:sz w:val="28"/>
          <w:szCs w:val="21"/>
        </w:rPr>
        <w:t xml:space="preserve">final </w:t>
      </w:r>
      <w:r w:rsidR="00464659">
        <w:rPr>
          <w:rFonts w:ascii="Georgia" w:eastAsiaTheme="minorEastAsia" w:hAnsi="Georgia" w:cs="Helvetica"/>
          <w:b/>
          <w:color w:val="252525"/>
          <w:sz w:val="28"/>
          <w:szCs w:val="21"/>
        </w:rPr>
        <w:t xml:space="preserve">site </w:t>
      </w:r>
      <w:r w:rsidR="00CB66DA" w:rsidRPr="00883D74">
        <w:rPr>
          <w:rFonts w:ascii="Georgia" w:eastAsiaTheme="minorEastAsia" w:hAnsi="Georgia" w:cs="Helvetica"/>
          <w:b/>
          <w:color w:val="252525"/>
          <w:sz w:val="28"/>
          <w:szCs w:val="21"/>
        </w:rPr>
        <w:t xml:space="preserve">status is unknown, </w:t>
      </w:r>
      <w:r w:rsidR="00741513" w:rsidRPr="00883D74">
        <w:rPr>
          <w:rFonts w:ascii="Georgia" w:eastAsiaTheme="minorEastAsia" w:hAnsi="Georgia" w:cs="Helvetica"/>
          <w:b/>
          <w:color w:val="252525"/>
          <w:sz w:val="28"/>
          <w:szCs w:val="21"/>
        </w:rPr>
        <w:t xml:space="preserve">and </w:t>
      </w:r>
      <w:r w:rsidR="00CB66DA" w:rsidRPr="00883D74">
        <w:rPr>
          <w:rFonts w:ascii="Georgia" w:eastAsiaTheme="minorEastAsia" w:hAnsi="Georgia" w:cs="Helvetica"/>
          <w:b/>
          <w:color w:val="252525"/>
          <w:sz w:val="28"/>
          <w:szCs w:val="21"/>
        </w:rPr>
        <w:t xml:space="preserve">no NRC </w:t>
      </w:r>
      <w:r w:rsidR="00282621" w:rsidRPr="00883D74">
        <w:rPr>
          <w:rFonts w:ascii="Georgia" w:eastAsiaTheme="minorEastAsia" w:hAnsi="Georgia" w:cs="Helvetica"/>
          <w:b/>
          <w:color w:val="252525"/>
          <w:sz w:val="28"/>
          <w:szCs w:val="21"/>
        </w:rPr>
        <w:t>oversight</w:t>
      </w:r>
      <w:r w:rsidR="000215F4" w:rsidRPr="00883D74">
        <w:rPr>
          <w:rFonts w:ascii="Georgia" w:eastAsiaTheme="minorEastAsia" w:hAnsi="Georgia" w:cs="Helvetica"/>
          <w:b/>
          <w:color w:val="252525"/>
          <w:sz w:val="28"/>
          <w:szCs w:val="21"/>
        </w:rPr>
        <w:t xml:space="preserve"> is required</w:t>
      </w:r>
      <w:r w:rsidR="00CB66DA" w:rsidRPr="00883D74">
        <w:rPr>
          <w:rFonts w:ascii="Georgia" w:eastAsiaTheme="minorEastAsia" w:hAnsi="Georgia" w:cs="Helvetica"/>
          <w:b/>
          <w:color w:val="252525"/>
          <w:sz w:val="28"/>
          <w:szCs w:val="21"/>
        </w:rPr>
        <w:t>.</w:t>
      </w:r>
      <w:r w:rsidR="000215F4" w:rsidRPr="00883D74">
        <w:rPr>
          <w:rFonts w:ascii="Georgia" w:eastAsiaTheme="minorEastAsia" w:hAnsi="Georgia" w:cs="Helvetica"/>
          <w:b/>
          <w:color w:val="252525"/>
          <w:sz w:val="28"/>
          <w:szCs w:val="21"/>
        </w:rPr>
        <w:t xml:space="preserve"> </w:t>
      </w:r>
      <w:r w:rsidR="00CB66DA" w:rsidRPr="00883D74">
        <w:rPr>
          <w:rFonts w:ascii="Georgia" w:eastAsiaTheme="minorEastAsia" w:hAnsi="Georgia" w:cs="Helvetica"/>
          <w:b/>
          <w:color w:val="252525"/>
          <w:sz w:val="28"/>
          <w:szCs w:val="21"/>
        </w:rPr>
        <w:t>Exelon acknowledges</w:t>
      </w:r>
      <w:r w:rsidR="00741513" w:rsidRPr="00883D74">
        <w:rPr>
          <w:rFonts w:ascii="Georgia" w:eastAsiaTheme="minorEastAsia" w:hAnsi="Georgia" w:cs="Helvetica"/>
          <w:b/>
          <w:color w:val="252525"/>
          <w:sz w:val="28"/>
          <w:szCs w:val="21"/>
        </w:rPr>
        <w:t xml:space="preserve"> throughout </w:t>
      </w:r>
      <w:r w:rsidR="00282621" w:rsidRPr="00883D74">
        <w:rPr>
          <w:rFonts w:ascii="Georgia" w:eastAsiaTheme="minorEastAsia" w:hAnsi="Georgia" w:cs="Helvetica"/>
          <w:b/>
          <w:color w:val="252525"/>
          <w:sz w:val="28"/>
          <w:szCs w:val="21"/>
        </w:rPr>
        <w:t xml:space="preserve">the </w:t>
      </w:r>
      <w:r w:rsidR="00741513" w:rsidRPr="00883D74">
        <w:rPr>
          <w:rFonts w:ascii="Georgia" w:eastAsiaTheme="minorEastAsia" w:hAnsi="Georgia" w:cs="Helvetica"/>
          <w:b/>
          <w:color w:val="252525"/>
          <w:sz w:val="28"/>
          <w:szCs w:val="21"/>
        </w:rPr>
        <w:t>PSDA</w:t>
      </w:r>
      <w:r w:rsidR="00323DE1" w:rsidRPr="00883D74">
        <w:rPr>
          <w:rFonts w:ascii="Georgia" w:eastAsiaTheme="minorEastAsia" w:hAnsi="Georgia" w:cs="Helvetica"/>
          <w:b/>
          <w:color w:val="252525"/>
          <w:sz w:val="28"/>
          <w:szCs w:val="21"/>
        </w:rPr>
        <w:t>R</w:t>
      </w:r>
      <w:r w:rsidR="00CB66DA" w:rsidRPr="00883D74">
        <w:rPr>
          <w:rFonts w:ascii="Georgia" w:eastAsiaTheme="minorEastAsia" w:hAnsi="Georgia" w:cs="Helvetica"/>
          <w:b/>
          <w:color w:val="252525"/>
          <w:sz w:val="28"/>
          <w:szCs w:val="21"/>
        </w:rPr>
        <w:t xml:space="preserve"> that site restoration </w:t>
      </w:r>
      <w:r w:rsidR="007D3CA0" w:rsidRPr="00883D74">
        <w:rPr>
          <w:rFonts w:ascii="Georgia" w:eastAsiaTheme="minorEastAsia" w:hAnsi="Georgia" w:cs="Helvetica"/>
          <w:b/>
          <w:color w:val="252525"/>
          <w:sz w:val="28"/>
          <w:szCs w:val="21"/>
        </w:rPr>
        <w:t>will be performed</w:t>
      </w:r>
      <w:r w:rsidRPr="00883D74">
        <w:rPr>
          <w:rFonts w:ascii="Georgia" w:eastAsiaTheme="minorEastAsia" w:hAnsi="Georgia" w:cs="Helvetica"/>
          <w:b/>
          <w:color w:val="252525"/>
          <w:sz w:val="28"/>
          <w:szCs w:val="21"/>
        </w:rPr>
        <w:t xml:space="preserve"> at </w:t>
      </w:r>
      <w:r w:rsidR="007D3CA0" w:rsidRPr="00883D74">
        <w:rPr>
          <w:rFonts w:ascii="Georgia" w:eastAsiaTheme="minorEastAsia" w:hAnsi="Georgia" w:cs="Helvetica"/>
          <w:b/>
          <w:color w:val="252525"/>
          <w:sz w:val="28"/>
          <w:szCs w:val="21"/>
        </w:rPr>
        <w:t xml:space="preserve">Exelon’s </w:t>
      </w:r>
      <w:r w:rsidRPr="00883D74">
        <w:rPr>
          <w:rFonts w:ascii="Georgia" w:eastAsiaTheme="minorEastAsia" w:hAnsi="Georgia" w:cs="Helvetica"/>
          <w:b/>
          <w:color w:val="252525"/>
          <w:sz w:val="28"/>
          <w:szCs w:val="21"/>
        </w:rPr>
        <w:t>discretion.</w:t>
      </w:r>
      <w:r w:rsidRPr="00883D74">
        <w:rPr>
          <w:rFonts w:ascii="Georgia" w:eastAsiaTheme="minorEastAsia" w:hAnsi="Georgia" w:cs="Helvetica"/>
          <w:color w:val="252525"/>
          <w:sz w:val="28"/>
          <w:szCs w:val="21"/>
        </w:rPr>
        <w:t xml:space="preserve"> </w:t>
      </w:r>
    </w:p>
    <w:p w:rsidR="00CC2C6E" w:rsidRPr="00883D74" w:rsidRDefault="00CC2C6E" w:rsidP="00A87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color w:val="252525"/>
          <w:sz w:val="28"/>
          <w:szCs w:val="21"/>
        </w:rPr>
      </w:pPr>
    </w:p>
    <w:p w:rsidR="002049E3" w:rsidRPr="00883D74" w:rsidRDefault="007D3CA0" w:rsidP="00CC2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Theme="minorEastAsia" w:hAnsi="Georgia" w:cs="Helvetica"/>
          <w:b/>
          <w:color w:val="252525"/>
          <w:sz w:val="28"/>
          <w:szCs w:val="21"/>
        </w:rPr>
      </w:pPr>
      <w:r w:rsidRPr="00883D74">
        <w:rPr>
          <w:rFonts w:ascii="Georgia" w:eastAsiaTheme="minorEastAsia" w:hAnsi="Georgia" w:cs="Helvetica"/>
          <w:color w:val="252525"/>
          <w:sz w:val="28"/>
          <w:szCs w:val="21"/>
        </w:rPr>
        <w:t>“</w:t>
      </w:r>
      <w:r w:rsidR="00A879DD" w:rsidRPr="00883D74">
        <w:rPr>
          <w:rFonts w:ascii="Georgia" w:eastAsiaTheme="minorEastAsia" w:hAnsi="Georgia" w:cs="Helvetica"/>
          <w:color w:val="252525"/>
          <w:sz w:val="28"/>
          <w:szCs w:val="21"/>
        </w:rPr>
        <w:t>Exelon currently assumes that remaining structures will be removed to a nominal depth of three feet below the surrounding grade level. Affected area(s) would then be backfilled with suitable fill materials, graded, and appropriat</w:t>
      </w:r>
      <w:r w:rsidRPr="00883D74">
        <w:rPr>
          <w:rFonts w:ascii="Georgia" w:eastAsiaTheme="minorEastAsia" w:hAnsi="Georgia" w:cs="Helvetica"/>
          <w:color w:val="252525"/>
          <w:sz w:val="28"/>
          <w:szCs w:val="21"/>
        </w:rPr>
        <w:t>e erosion controls established [pro</w:t>
      </w:r>
      <w:r w:rsidR="00741513" w:rsidRPr="00883D74">
        <w:rPr>
          <w:rFonts w:ascii="Georgia" w:eastAsiaTheme="minorEastAsia" w:hAnsi="Georgia" w:cs="Helvetica"/>
          <w:color w:val="252525"/>
          <w:sz w:val="28"/>
          <w:szCs w:val="21"/>
        </w:rPr>
        <w:t>x</w:t>
      </w:r>
      <w:r w:rsidRPr="00883D74">
        <w:rPr>
          <w:rFonts w:ascii="Georgia" w:eastAsiaTheme="minorEastAsia" w:hAnsi="Georgia" w:cs="Helvetica"/>
          <w:color w:val="252525"/>
          <w:sz w:val="28"/>
          <w:szCs w:val="21"/>
        </w:rPr>
        <w:t xml:space="preserve">imate to the Susquehanna River.] </w:t>
      </w:r>
      <w:r w:rsidR="00A879DD" w:rsidRPr="00883D74">
        <w:rPr>
          <w:rFonts w:ascii="Georgia" w:eastAsiaTheme="minorEastAsia" w:hAnsi="Georgia" w:cs="Helvetica"/>
          <w:color w:val="252525"/>
          <w:sz w:val="28"/>
          <w:szCs w:val="21"/>
        </w:rPr>
        <w:t xml:space="preserve">Non-contaminated concrete remaining after the demolition activities may be used for backfilling subsurface voids or may be </w:t>
      </w:r>
      <w:r w:rsidR="000E1AD7">
        <w:rPr>
          <w:rFonts w:ascii="Georgia" w:eastAsiaTheme="minorEastAsia" w:hAnsi="Georgia" w:cs="Helvetica"/>
          <w:color w:val="252525"/>
          <w:sz w:val="28"/>
          <w:szCs w:val="21"/>
        </w:rPr>
        <w:t>transported to an offsite area f</w:t>
      </w:r>
      <w:r w:rsidR="00A879DD" w:rsidRPr="00883D74">
        <w:rPr>
          <w:rFonts w:ascii="Georgia" w:eastAsiaTheme="minorEastAsia" w:hAnsi="Georgia" w:cs="Helvetica"/>
          <w:color w:val="252525"/>
          <w:sz w:val="28"/>
          <w:szCs w:val="21"/>
        </w:rPr>
        <w:t>or appropriate disposal as construction debris.</w:t>
      </w:r>
      <w:r w:rsidR="00CB66DA" w:rsidRPr="00883D74">
        <w:rPr>
          <w:rFonts w:ascii="Georgia" w:eastAsiaTheme="minorEastAsia" w:hAnsi="Georgia" w:cs="Helvetica"/>
          <w:color w:val="252525"/>
          <w:sz w:val="28"/>
          <w:szCs w:val="21"/>
        </w:rPr>
        <w:t>”</w:t>
      </w:r>
      <w:r w:rsidR="00A879DD" w:rsidRPr="00883D74">
        <w:rPr>
          <w:rFonts w:ascii="Georgia" w:eastAsiaTheme="minorEastAsia" w:hAnsi="Georgia" w:cs="Helvetica"/>
          <w:color w:val="252525"/>
          <w:sz w:val="28"/>
          <w:szCs w:val="21"/>
        </w:rPr>
        <w:t xml:space="preserve"> (PSDAR, p. 14.</w:t>
      </w:r>
      <w:r w:rsidR="00D7059D">
        <w:rPr>
          <w:rFonts w:ascii="Georgia" w:eastAsiaTheme="minorEastAsia" w:hAnsi="Georgia" w:cs="Helvetica"/>
          <w:color w:val="252525"/>
          <w:sz w:val="28"/>
          <w:szCs w:val="21"/>
        </w:rPr>
        <w:t xml:space="preserve"> Refer to discussion on pp. 12</w:t>
      </w:r>
      <w:r w:rsidR="003961F2">
        <w:rPr>
          <w:rFonts w:ascii="Georgia" w:eastAsiaTheme="minorEastAsia" w:hAnsi="Georgia" w:cs="Helvetica"/>
          <w:color w:val="252525"/>
          <w:sz w:val="28"/>
          <w:szCs w:val="21"/>
        </w:rPr>
        <w:t>-13.</w:t>
      </w:r>
      <w:r w:rsidR="00A879DD" w:rsidRPr="00883D74">
        <w:rPr>
          <w:rFonts w:ascii="Georgia" w:eastAsiaTheme="minorEastAsia" w:hAnsi="Georgia" w:cs="Helvetica"/>
          <w:color w:val="252525"/>
          <w:sz w:val="28"/>
          <w:szCs w:val="21"/>
        </w:rPr>
        <w:t>)</w:t>
      </w:r>
    </w:p>
    <w:p w:rsidR="00E7062E" w:rsidRPr="00883D74" w:rsidRDefault="007D3CA0" w:rsidP="00DD08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color w:val="252525"/>
          <w:sz w:val="28"/>
          <w:szCs w:val="21"/>
        </w:rPr>
      </w:pPr>
      <w:r w:rsidRPr="00883D74">
        <w:rPr>
          <w:rFonts w:ascii="Georgia" w:eastAsiaTheme="minorEastAsia" w:hAnsi="Georgia" w:cs="Helvetica"/>
          <w:color w:val="252525"/>
          <w:sz w:val="28"/>
          <w:szCs w:val="21"/>
        </w:rPr>
        <w:t xml:space="preserve"> </w:t>
      </w:r>
      <w:r w:rsidR="00DD08BE">
        <w:rPr>
          <w:rFonts w:ascii="Georgia" w:eastAsiaTheme="minorEastAsia" w:hAnsi="Georgia" w:cs="Helvetica"/>
          <w:color w:val="252525"/>
          <w:sz w:val="28"/>
          <w:szCs w:val="21"/>
        </w:rPr>
        <w:t xml:space="preserve"> </w:t>
      </w:r>
    </w:p>
    <w:p w:rsidR="00C17087" w:rsidRPr="00705BCE" w:rsidRDefault="00E7062E" w:rsidP="00705BCE">
      <w:pPr>
        <w:widowControl w:val="0"/>
        <w:autoSpaceDE w:val="0"/>
        <w:autoSpaceDN w:val="0"/>
        <w:adjustRightInd w:val="0"/>
        <w:rPr>
          <w:rFonts w:ascii="Georgia" w:eastAsiaTheme="minorEastAsia" w:hAnsi="Georgia" w:cs="Helvetica"/>
          <w:b/>
          <w:color w:val="252525"/>
          <w:sz w:val="28"/>
          <w:szCs w:val="21"/>
        </w:rPr>
      </w:pPr>
      <w:r w:rsidRPr="00883D74">
        <w:rPr>
          <w:rFonts w:ascii="Georgia" w:eastAsiaTheme="minorEastAsia" w:hAnsi="Georgia" w:cs="Helvetica"/>
          <w:color w:val="252525"/>
          <w:sz w:val="28"/>
          <w:szCs w:val="21"/>
        </w:rPr>
        <w:tab/>
      </w:r>
      <w:r w:rsidR="002049E3" w:rsidRPr="00883D74">
        <w:rPr>
          <w:rFonts w:ascii="Georgia" w:eastAsiaTheme="minorEastAsia" w:hAnsi="Georgia" w:cs="Helvetica"/>
          <w:b/>
          <w:color w:val="252525"/>
          <w:sz w:val="28"/>
          <w:szCs w:val="21"/>
        </w:rPr>
        <w:t xml:space="preserve"> Exelon has no funds to carry out </w:t>
      </w:r>
      <w:r w:rsidRPr="00883D74">
        <w:rPr>
          <w:rFonts w:ascii="Georgia" w:eastAsiaTheme="minorEastAsia" w:hAnsi="Georgia" w:cs="Helvetica"/>
          <w:b/>
          <w:color w:val="252525"/>
          <w:sz w:val="28"/>
          <w:szCs w:val="21"/>
        </w:rPr>
        <w:t>post-termination obligations</w:t>
      </w:r>
      <w:r w:rsidR="00DD08BE">
        <w:rPr>
          <w:rFonts w:ascii="Georgia" w:eastAsiaTheme="minorEastAsia" w:hAnsi="Georgia" w:cs="Helvetica"/>
          <w:b/>
          <w:color w:val="252525"/>
          <w:sz w:val="28"/>
          <w:szCs w:val="21"/>
        </w:rPr>
        <w:t xml:space="preserve">. In addition, </w:t>
      </w:r>
      <w:r w:rsidR="00E075F5">
        <w:rPr>
          <w:rFonts w:ascii="Georgia" w:eastAsiaTheme="minorEastAsia" w:hAnsi="Georgia" w:cs="Helvetica"/>
          <w:b/>
          <w:color w:val="252525"/>
          <w:sz w:val="28"/>
          <w:szCs w:val="21"/>
        </w:rPr>
        <w:t xml:space="preserve">the </w:t>
      </w:r>
      <w:r w:rsidR="00CC2C6E" w:rsidRPr="00883D74">
        <w:rPr>
          <w:rFonts w:ascii="Georgia" w:eastAsiaTheme="minorEastAsia" w:hAnsi="Georgia" w:cs="Helvetica"/>
          <w:b/>
          <w:color w:val="252525"/>
          <w:sz w:val="28"/>
          <w:szCs w:val="21"/>
        </w:rPr>
        <w:t>Company’s</w:t>
      </w:r>
      <w:r w:rsidR="00F1099A" w:rsidRPr="00883D74">
        <w:rPr>
          <w:rFonts w:ascii="Georgia" w:eastAsiaTheme="minorEastAsia" w:hAnsi="Georgia" w:cs="Helvetica"/>
          <w:b/>
          <w:color w:val="252525"/>
          <w:sz w:val="28"/>
          <w:szCs w:val="21"/>
        </w:rPr>
        <w:t xml:space="preserve"> Asset Retir</w:t>
      </w:r>
      <w:r w:rsidR="007D3CA0" w:rsidRPr="00883D74">
        <w:rPr>
          <w:rFonts w:ascii="Georgia" w:eastAsiaTheme="minorEastAsia" w:hAnsi="Georgia" w:cs="Helvetica"/>
          <w:b/>
          <w:color w:val="252525"/>
          <w:sz w:val="28"/>
          <w:szCs w:val="21"/>
        </w:rPr>
        <w:t>e</w:t>
      </w:r>
      <w:r w:rsidR="00F1099A" w:rsidRPr="00883D74">
        <w:rPr>
          <w:rFonts w:ascii="Georgia" w:eastAsiaTheme="minorEastAsia" w:hAnsi="Georgia" w:cs="Helvetica"/>
          <w:b/>
          <w:color w:val="252525"/>
          <w:sz w:val="28"/>
          <w:szCs w:val="21"/>
        </w:rPr>
        <w:t xml:space="preserve">ment Obligations </w:t>
      </w:r>
      <w:r w:rsidR="00DD08BE">
        <w:rPr>
          <w:rFonts w:ascii="Georgia" w:eastAsiaTheme="minorEastAsia" w:hAnsi="Georgia" w:cs="Helvetica"/>
          <w:b/>
          <w:color w:val="252525"/>
          <w:sz w:val="28"/>
          <w:szCs w:val="21"/>
        </w:rPr>
        <w:t xml:space="preserve">(“ARO”) </w:t>
      </w:r>
      <w:r w:rsidR="00F1099A" w:rsidRPr="00883D74">
        <w:rPr>
          <w:rFonts w:ascii="Georgia" w:eastAsiaTheme="minorEastAsia" w:hAnsi="Georgia" w:cs="Helvetica"/>
          <w:b/>
          <w:color w:val="252525"/>
          <w:sz w:val="28"/>
          <w:szCs w:val="21"/>
        </w:rPr>
        <w:t>have increased steadily since 2016</w:t>
      </w:r>
      <w:r w:rsidR="002049E3" w:rsidRPr="00883D74">
        <w:rPr>
          <w:rFonts w:ascii="Georgia" w:eastAsiaTheme="minorEastAsia" w:hAnsi="Georgia" w:cs="Helvetica"/>
          <w:b/>
          <w:color w:val="252525"/>
          <w:sz w:val="28"/>
          <w:szCs w:val="21"/>
        </w:rPr>
        <w:t>.</w:t>
      </w:r>
      <w:r w:rsidR="007D3CA0" w:rsidRPr="00883D74">
        <w:rPr>
          <w:rFonts w:ascii="Georgia" w:eastAsiaTheme="minorEastAsia" w:hAnsi="Georgia" w:cs="Helvetica"/>
          <w:b/>
          <w:color w:val="252525"/>
          <w:sz w:val="28"/>
          <w:szCs w:val="21"/>
        </w:rPr>
        <w:t xml:space="preserve"> (Exelon Annual Report,</w:t>
      </w:r>
      <w:r w:rsidR="00F1099A" w:rsidRPr="00883D74">
        <w:rPr>
          <w:rFonts w:ascii="Georgia" w:eastAsiaTheme="minorEastAsia" w:hAnsi="Georgia" w:cs="Helvetica"/>
          <w:b/>
          <w:color w:val="252525"/>
          <w:sz w:val="28"/>
          <w:szCs w:val="21"/>
        </w:rPr>
        <w:t xml:space="preserve"> 2017 and </w:t>
      </w:r>
      <w:r w:rsidR="007D3CA0" w:rsidRPr="00883D74">
        <w:rPr>
          <w:rFonts w:ascii="Georgia" w:eastAsiaTheme="minorEastAsia" w:hAnsi="Georgia" w:cs="Helvetica"/>
          <w:b/>
          <w:color w:val="252525"/>
          <w:sz w:val="28"/>
          <w:szCs w:val="21"/>
        </w:rPr>
        <w:t xml:space="preserve">Exelon Annual Report, </w:t>
      </w:r>
      <w:r w:rsidR="00F1099A" w:rsidRPr="00883D74">
        <w:rPr>
          <w:rFonts w:ascii="Georgia" w:eastAsiaTheme="minorEastAsia" w:hAnsi="Georgia" w:cs="Helvetica"/>
          <w:b/>
          <w:color w:val="252525"/>
          <w:sz w:val="28"/>
          <w:szCs w:val="21"/>
        </w:rPr>
        <w:t>2018</w:t>
      </w:r>
      <w:r w:rsidR="00707D83" w:rsidRPr="00883D74">
        <w:rPr>
          <w:rFonts w:ascii="Georgia" w:eastAsiaTheme="minorEastAsia" w:hAnsi="Georgia" w:cs="Helvetica"/>
          <w:b/>
          <w:color w:val="252525"/>
          <w:sz w:val="28"/>
          <w:szCs w:val="21"/>
        </w:rPr>
        <w:t>.</w:t>
      </w:r>
      <w:r w:rsidR="00F1099A" w:rsidRPr="00883D74">
        <w:rPr>
          <w:rFonts w:ascii="Georgia" w:eastAsiaTheme="minorEastAsia" w:hAnsi="Georgia" w:cs="Helvetica"/>
          <w:b/>
          <w:color w:val="252525"/>
          <w:sz w:val="28"/>
          <w:szCs w:val="21"/>
        </w:rPr>
        <w:t>)</w:t>
      </w:r>
    </w:p>
    <w:p w:rsidR="00E075F5" w:rsidRPr="00883D74" w:rsidRDefault="00E075F5" w:rsidP="00E075F5">
      <w:pPr>
        <w:tabs>
          <w:tab w:val="center" w:pos="4680"/>
        </w:tabs>
        <w:rPr>
          <w:rFonts w:ascii="Georgia" w:hAnsi="Georgia"/>
          <w:color w:val="222222"/>
          <w:sz w:val="28"/>
        </w:rPr>
      </w:pPr>
    </w:p>
    <w:p w:rsidR="00E075F5" w:rsidRPr="00DD08BE" w:rsidRDefault="00E075F5" w:rsidP="00E075F5">
      <w:pPr>
        <w:tabs>
          <w:tab w:val="center" w:pos="4680"/>
        </w:tabs>
        <w:rPr>
          <w:rFonts w:ascii="Georgia" w:hAnsi="Georgia"/>
          <w:b/>
          <w:color w:val="222222"/>
          <w:sz w:val="28"/>
        </w:rPr>
      </w:pPr>
      <w:r w:rsidRPr="00883D74">
        <w:rPr>
          <w:rFonts w:ascii="Georgia" w:hAnsi="Georgia"/>
          <w:color w:val="222222"/>
          <w:sz w:val="28"/>
        </w:rPr>
        <w:tab/>
      </w:r>
      <w:r w:rsidRPr="00DD08BE">
        <w:rPr>
          <w:rFonts w:ascii="Georgia" w:hAnsi="Georgia"/>
          <w:b/>
          <w:color w:val="222222"/>
          <w:sz w:val="28"/>
        </w:rPr>
        <w:t xml:space="preserve">      Prior to raiding the DTF, there is gap between savings</w:t>
      </w:r>
      <w:r>
        <w:rPr>
          <w:rFonts w:ascii="Georgia" w:hAnsi="Georgia"/>
          <w:b/>
          <w:color w:val="222222"/>
          <w:sz w:val="28"/>
        </w:rPr>
        <w:t xml:space="preserve">’ balance </w:t>
      </w:r>
      <w:r w:rsidRPr="00DD08BE">
        <w:rPr>
          <w:rFonts w:ascii="Georgia" w:hAnsi="Georgia"/>
          <w:b/>
          <w:color w:val="222222"/>
          <w:sz w:val="28"/>
        </w:rPr>
        <w:t xml:space="preserve"> -  $669,617,000 – and the “minimal amount” - $1,001,552,000 – or the amount to partially clean-up TMI-1.</w:t>
      </w:r>
    </w:p>
    <w:p w:rsidR="003D16A2" w:rsidRPr="00883D74" w:rsidRDefault="003D16A2" w:rsidP="003D16A2">
      <w:pPr>
        <w:rPr>
          <w:rFonts w:ascii="Georgia" w:hAnsi="Georgia"/>
          <w:color w:val="222222"/>
          <w:sz w:val="28"/>
        </w:rPr>
      </w:pPr>
    </w:p>
    <w:p w:rsidR="00E075F5" w:rsidRDefault="003D16A2" w:rsidP="003D16A2">
      <w:pPr>
        <w:rPr>
          <w:rFonts w:ascii="Georgia" w:hAnsi="Georgia"/>
          <w:b/>
          <w:color w:val="222222"/>
          <w:sz w:val="28"/>
        </w:rPr>
      </w:pPr>
      <w:r w:rsidRPr="00883D74">
        <w:rPr>
          <w:rFonts w:ascii="Georgia" w:hAnsi="Georgia"/>
          <w:color w:val="222222"/>
          <w:sz w:val="28"/>
        </w:rPr>
        <w:tab/>
        <w:t>“The 10</w:t>
      </w:r>
      <w:r w:rsidR="007D3CA0" w:rsidRPr="00883D74">
        <w:rPr>
          <w:rFonts w:ascii="Georgia" w:hAnsi="Georgia"/>
          <w:color w:val="222222"/>
          <w:sz w:val="28"/>
        </w:rPr>
        <w:t xml:space="preserve"> </w:t>
      </w:r>
      <w:r w:rsidRPr="00883D74">
        <w:rPr>
          <w:rFonts w:ascii="Georgia" w:hAnsi="Georgia"/>
          <w:color w:val="222222"/>
          <w:sz w:val="28"/>
        </w:rPr>
        <w:t xml:space="preserve">CFR 50.75(c) minimum formula amount for TMl-1 as of December 31, 2018 is </w:t>
      </w:r>
      <w:r w:rsidRPr="00883D74">
        <w:rPr>
          <w:rFonts w:ascii="Georgia" w:hAnsi="Georgia"/>
          <w:b/>
          <w:color w:val="222222"/>
          <w:sz w:val="28"/>
        </w:rPr>
        <w:t>$493,028,000</w:t>
      </w:r>
      <w:r w:rsidR="005F1608" w:rsidRPr="00883D74">
        <w:rPr>
          <w:rFonts w:ascii="Georgia" w:hAnsi="Georgia"/>
          <w:color w:val="222222"/>
          <w:sz w:val="28"/>
        </w:rPr>
        <w:t>.</w:t>
      </w:r>
      <w:r w:rsidRPr="00883D74">
        <w:rPr>
          <w:rFonts w:ascii="Georgia" w:hAnsi="Georgia"/>
          <w:color w:val="222222"/>
          <w:sz w:val="28"/>
        </w:rPr>
        <w:t xml:space="preserve"> As indica</w:t>
      </w:r>
      <w:r w:rsidR="005F1608" w:rsidRPr="00883D74">
        <w:rPr>
          <w:rFonts w:ascii="Georgia" w:hAnsi="Georgia"/>
          <w:color w:val="222222"/>
          <w:sz w:val="28"/>
        </w:rPr>
        <w:t xml:space="preserve">ted in Table 2.2, the </w:t>
      </w:r>
      <w:r w:rsidR="005F1608" w:rsidRPr="00883D74">
        <w:rPr>
          <w:rFonts w:ascii="Georgia" w:hAnsi="Georgia"/>
          <w:b/>
          <w:color w:val="222222"/>
          <w:sz w:val="28"/>
        </w:rPr>
        <w:t>estimated</w:t>
      </w:r>
      <w:r w:rsidR="00E32CA9" w:rsidRPr="00883D74">
        <w:rPr>
          <w:rFonts w:ascii="Georgia" w:hAnsi="Georgia"/>
          <w:b/>
          <w:color w:val="222222"/>
          <w:sz w:val="28"/>
        </w:rPr>
        <w:t xml:space="preserve"> </w:t>
      </w:r>
      <w:r w:rsidRPr="00883D74">
        <w:rPr>
          <w:rFonts w:ascii="Georgia" w:hAnsi="Georgia"/>
          <w:b/>
          <w:color w:val="222222"/>
          <w:sz w:val="28"/>
        </w:rPr>
        <w:t>cost</w:t>
      </w:r>
      <w:r w:rsidRPr="00883D74">
        <w:rPr>
          <w:rFonts w:ascii="Georgia" w:hAnsi="Georgia"/>
          <w:color w:val="222222"/>
          <w:sz w:val="28"/>
        </w:rPr>
        <w:t xml:space="preserve"> of radiological decommissioning at TMl-1 is </w:t>
      </w:r>
      <w:r w:rsidRPr="00883D74">
        <w:rPr>
          <w:rFonts w:ascii="Georgia" w:hAnsi="Georgia"/>
          <w:b/>
          <w:color w:val="222222"/>
          <w:sz w:val="28"/>
        </w:rPr>
        <w:t xml:space="preserve">$1,001,552,000. </w:t>
      </w:r>
      <w:r w:rsidR="00DD08BE">
        <w:rPr>
          <w:rFonts w:ascii="Georgia" w:hAnsi="Georgia"/>
          <w:b/>
          <w:color w:val="222222"/>
          <w:sz w:val="28"/>
        </w:rPr>
        <w:t xml:space="preserve">There is </w:t>
      </w:r>
      <w:r w:rsidR="000215F4" w:rsidRPr="00883D74">
        <w:rPr>
          <w:rFonts w:ascii="Georgia" w:hAnsi="Georgia"/>
          <w:b/>
          <w:color w:val="222222"/>
          <w:sz w:val="28"/>
        </w:rPr>
        <w:t>no enforcement mechanism</w:t>
      </w:r>
      <w:r w:rsidR="00DD08BE">
        <w:rPr>
          <w:rFonts w:ascii="Georgia" w:hAnsi="Georgia"/>
          <w:b/>
          <w:color w:val="222222"/>
          <w:sz w:val="28"/>
        </w:rPr>
        <w:t xml:space="preserve"> available to</w:t>
      </w:r>
      <w:r w:rsidR="000215F4" w:rsidRPr="00883D74">
        <w:rPr>
          <w:rFonts w:ascii="Georgia" w:hAnsi="Georgia"/>
          <w:b/>
          <w:color w:val="222222"/>
          <w:sz w:val="28"/>
        </w:rPr>
        <w:t xml:space="preserve"> the NRC to compel Exelon to </w:t>
      </w:r>
      <w:r w:rsidR="00DD08BE">
        <w:rPr>
          <w:rFonts w:ascii="Georgia" w:hAnsi="Georgia"/>
          <w:b/>
          <w:color w:val="222222"/>
          <w:sz w:val="28"/>
        </w:rPr>
        <w:t>make up the</w:t>
      </w:r>
      <w:r w:rsidR="008C7EDE">
        <w:rPr>
          <w:rFonts w:ascii="Georgia" w:hAnsi="Georgia"/>
          <w:b/>
          <w:color w:val="222222"/>
          <w:sz w:val="28"/>
        </w:rPr>
        <w:t xml:space="preserve"> </w:t>
      </w:r>
      <w:r w:rsidR="00DD08BE">
        <w:rPr>
          <w:rFonts w:ascii="Georgia" w:hAnsi="Georgia"/>
          <w:b/>
          <w:color w:val="222222"/>
          <w:sz w:val="28"/>
        </w:rPr>
        <w:t xml:space="preserve">$331,935,000 shortfall when the </w:t>
      </w:r>
      <w:r w:rsidR="000215F4" w:rsidRPr="00883D74">
        <w:rPr>
          <w:rFonts w:ascii="Georgia" w:hAnsi="Georgia"/>
          <w:b/>
          <w:color w:val="222222"/>
          <w:sz w:val="28"/>
        </w:rPr>
        <w:t>plant is no longer operating.</w:t>
      </w:r>
    </w:p>
    <w:p w:rsidR="00E075F5" w:rsidRDefault="00E075F5" w:rsidP="003D16A2">
      <w:pPr>
        <w:rPr>
          <w:rFonts w:ascii="Georgia" w:hAnsi="Georgia"/>
          <w:b/>
          <w:color w:val="222222"/>
          <w:sz w:val="28"/>
        </w:rPr>
      </w:pPr>
    </w:p>
    <w:p w:rsidR="00E075F5" w:rsidRDefault="00E075F5" w:rsidP="003D16A2">
      <w:pPr>
        <w:rPr>
          <w:rFonts w:ascii="Georgia" w:hAnsi="Georgia"/>
          <w:b/>
          <w:color w:val="222222"/>
          <w:sz w:val="28"/>
        </w:rPr>
      </w:pPr>
    </w:p>
    <w:p w:rsidR="00E075F5" w:rsidRDefault="00E075F5" w:rsidP="003D16A2">
      <w:pPr>
        <w:rPr>
          <w:rFonts w:ascii="Georgia" w:hAnsi="Georgia"/>
          <w:b/>
          <w:color w:val="222222"/>
          <w:sz w:val="28"/>
        </w:rPr>
      </w:pPr>
    </w:p>
    <w:p w:rsidR="000215F4" w:rsidRPr="00883D74" w:rsidRDefault="00E075F5" w:rsidP="00FB6B99">
      <w:pPr>
        <w:rPr>
          <w:rFonts w:ascii="Georgia" w:hAnsi="Georgia"/>
          <w:color w:val="222222"/>
          <w:sz w:val="28"/>
        </w:rPr>
      </w:pPr>
      <w:r>
        <w:rPr>
          <w:rFonts w:ascii="Georgia" w:hAnsi="Georgia"/>
          <w:b/>
          <w:color w:val="222222"/>
          <w:sz w:val="28"/>
        </w:rPr>
        <w:tab/>
      </w:r>
      <w:r>
        <w:rPr>
          <w:rFonts w:ascii="Georgia" w:hAnsi="Georgia"/>
          <w:b/>
          <w:color w:val="222222"/>
          <w:sz w:val="28"/>
        </w:rPr>
        <w:tab/>
      </w:r>
      <w:r>
        <w:rPr>
          <w:rFonts w:ascii="Georgia" w:hAnsi="Georgia"/>
          <w:b/>
          <w:color w:val="222222"/>
          <w:sz w:val="28"/>
        </w:rPr>
        <w:tab/>
      </w:r>
      <w:r>
        <w:rPr>
          <w:rFonts w:ascii="Georgia" w:hAnsi="Georgia"/>
          <w:b/>
          <w:color w:val="222222"/>
          <w:sz w:val="28"/>
        </w:rPr>
        <w:tab/>
      </w:r>
      <w:r>
        <w:rPr>
          <w:rFonts w:ascii="Georgia" w:hAnsi="Georgia"/>
          <w:b/>
          <w:color w:val="222222"/>
          <w:sz w:val="28"/>
        </w:rPr>
        <w:tab/>
      </w:r>
      <w:r>
        <w:rPr>
          <w:rFonts w:ascii="Georgia" w:hAnsi="Georgia"/>
          <w:b/>
          <w:color w:val="222222"/>
          <w:sz w:val="28"/>
        </w:rPr>
        <w:tab/>
      </w:r>
      <w:r w:rsidRPr="00FB6B99">
        <w:rPr>
          <w:rFonts w:ascii="Georgia" w:hAnsi="Georgia"/>
          <w:color w:val="222222"/>
          <w:sz w:val="28"/>
        </w:rPr>
        <w:t xml:space="preserve">     </w:t>
      </w:r>
      <w:r w:rsidR="00FB6B99" w:rsidRPr="00FB6B99">
        <w:rPr>
          <w:rFonts w:ascii="Georgia" w:hAnsi="Georgia"/>
          <w:color w:val="222222"/>
          <w:sz w:val="28"/>
        </w:rPr>
        <w:t>3</w:t>
      </w:r>
    </w:p>
    <w:p w:rsidR="000215F4" w:rsidRPr="00883D74" w:rsidRDefault="000215F4" w:rsidP="000215F4">
      <w:pPr>
        <w:ind w:firstLine="720"/>
        <w:rPr>
          <w:rFonts w:ascii="Georgia" w:hAnsi="Georgia"/>
          <w:color w:val="222222"/>
          <w:sz w:val="28"/>
        </w:rPr>
      </w:pPr>
    </w:p>
    <w:p w:rsidR="000215F4" w:rsidRPr="00883D74" w:rsidRDefault="005214DA" w:rsidP="000215F4">
      <w:pPr>
        <w:ind w:firstLine="720"/>
        <w:rPr>
          <w:rFonts w:ascii="Georgia" w:hAnsi="Georgia"/>
          <w:color w:val="222222"/>
          <w:sz w:val="28"/>
        </w:rPr>
      </w:pPr>
      <w:r w:rsidRPr="00883D74">
        <w:rPr>
          <w:rFonts w:ascii="Georgia" w:eastAsia="Times New Roman" w:hAnsi="Georgia" w:cs="Times New Roman"/>
          <w:color w:val="303030"/>
          <w:sz w:val="28"/>
        </w:rPr>
        <w:t>Furthermore, these projections conflict with Exelon’s</w:t>
      </w:r>
      <w:r w:rsidR="00705BCE">
        <w:rPr>
          <w:rFonts w:ascii="Georgia" w:eastAsia="Times New Roman" w:hAnsi="Georgia" w:cs="Times New Roman"/>
          <w:color w:val="303030"/>
          <w:sz w:val="28"/>
        </w:rPr>
        <w:t xml:space="preserve"> costs as submitted in their Security and Exchange</w:t>
      </w:r>
      <w:r w:rsidRPr="00883D74">
        <w:rPr>
          <w:rFonts w:ascii="Georgia" w:eastAsia="Times New Roman" w:hAnsi="Georgia" w:cs="Times New Roman"/>
          <w:color w:val="303030"/>
          <w:sz w:val="28"/>
        </w:rPr>
        <w:t xml:space="preserve"> filings</w:t>
      </w:r>
      <w:r w:rsidR="00705BCE">
        <w:rPr>
          <w:rFonts w:ascii="Georgia" w:eastAsia="Times New Roman" w:hAnsi="Georgia" w:cs="Times New Roman"/>
          <w:color w:val="303030"/>
          <w:sz w:val="28"/>
        </w:rPr>
        <w:t xml:space="preserve"> (Enclosure 9),</w:t>
      </w:r>
      <w:r w:rsidRPr="00883D74">
        <w:rPr>
          <w:rFonts w:ascii="Georgia" w:eastAsia="Times New Roman" w:hAnsi="Georgia" w:cs="Times New Roman"/>
          <w:color w:val="303030"/>
          <w:sz w:val="28"/>
        </w:rPr>
        <w:t xml:space="preserve"> and </w:t>
      </w:r>
      <w:r w:rsidR="000215F4" w:rsidRPr="00883D74">
        <w:rPr>
          <w:rFonts w:ascii="Georgia" w:eastAsia="Times New Roman" w:hAnsi="Georgia" w:cs="Times New Roman"/>
          <w:color w:val="303030"/>
          <w:sz w:val="28"/>
        </w:rPr>
        <w:t>do not include the cost of Greenfield and non-radiological decommissioning,</w:t>
      </w:r>
      <w:r w:rsidR="007D3CA0" w:rsidRPr="00883D74">
        <w:rPr>
          <w:rFonts w:ascii="Georgia" w:eastAsia="Times New Roman" w:hAnsi="Georgia" w:cs="Times New Roman"/>
          <w:color w:val="303030"/>
          <w:sz w:val="28"/>
        </w:rPr>
        <w:t xml:space="preserve"> e.g., </w:t>
      </w:r>
      <w:r w:rsidR="000215F4" w:rsidRPr="00883D74">
        <w:rPr>
          <w:rFonts w:ascii="Georgia" w:eastAsia="Times New Roman" w:hAnsi="Georgia" w:cs="Times New Roman"/>
          <w:color w:val="303030"/>
          <w:sz w:val="28"/>
        </w:rPr>
        <w:t>site-</w:t>
      </w:r>
      <w:r w:rsidRPr="00883D74">
        <w:rPr>
          <w:rFonts w:ascii="Georgia" w:eastAsia="Times New Roman" w:hAnsi="Georgia" w:cs="Times New Roman"/>
          <w:color w:val="303030"/>
          <w:sz w:val="28"/>
        </w:rPr>
        <w:t>restoration, caustic, chemical, and effluent monitoring, earthquakes, emergency planning</w:t>
      </w:r>
      <w:r w:rsidR="000215F4" w:rsidRPr="00883D74">
        <w:rPr>
          <w:rFonts w:ascii="Georgia" w:eastAsia="Times New Roman" w:hAnsi="Georgia" w:cs="Times New Roman"/>
          <w:color w:val="303030"/>
          <w:sz w:val="28"/>
        </w:rPr>
        <w:t xml:space="preserve"> outside of the fence line</w:t>
      </w:r>
      <w:r w:rsidRPr="00883D74">
        <w:rPr>
          <w:rFonts w:ascii="Georgia" w:eastAsia="Times New Roman" w:hAnsi="Georgia" w:cs="Times New Roman"/>
          <w:color w:val="303030"/>
          <w:sz w:val="28"/>
        </w:rPr>
        <w:t xml:space="preserve">, flooding, </w:t>
      </w:r>
      <w:r w:rsidR="00BB3110" w:rsidRPr="00883D74">
        <w:rPr>
          <w:rFonts w:ascii="Georgia" w:eastAsia="Times New Roman" w:hAnsi="Georgia" w:cs="Times New Roman"/>
          <w:color w:val="303030"/>
          <w:sz w:val="28"/>
        </w:rPr>
        <w:t xml:space="preserve">ice jams, </w:t>
      </w:r>
      <w:r w:rsidRPr="00883D74">
        <w:rPr>
          <w:rFonts w:ascii="Georgia" w:eastAsia="Times New Roman" w:hAnsi="Georgia" w:cs="Times New Roman"/>
          <w:color w:val="303030"/>
          <w:sz w:val="28"/>
        </w:rPr>
        <w:t xml:space="preserve">on-site fire protection, hardened security for dry casks and spent fuel pools, </w:t>
      </w:r>
      <w:r w:rsidR="00E7062E" w:rsidRPr="00883D74">
        <w:rPr>
          <w:rFonts w:ascii="Georgia" w:eastAsia="Times New Roman" w:hAnsi="Georgia" w:cs="Times New Roman"/>
          <w:color w:val="303030"/>
          <w:sz w:val="28"/>
        </w:rPr>
        <w:t>State-of-the-Art Reactor Consequen</w:t>
      </w:r>
      <w:r w:rsidR="00841417" w:rsidRPr="00883D74">
        <w:rPr>
          <w:rFonts w:ascii="Georgia" w:eastAsia="Times New Roman" w:hAnsi="Georgia" w:cs="Times New Roman"/>
          <w:color w:val="303030"/>
          <w:sz w:val="28"/>
        </w:rPr>
        <w:t>ce Analyses</w:t>
      </w:r>
      <w:r w:rsidR="00E7062E" w:rsidRPr="00883D74">
        <w:rPr>
          <w:rFonts w:ascii="Georgia" w:eastAsia="Times New Roman" w:hAnsi="Georgia" w:cs="Times New Roman"/>
          <w:color w:val="303030"/>
          <w:sz w:val="28"/>
        </w:rPr>
        <w:t xml:space="preserve"> (“</w:t>
      </w:r>
      <w:r w:rsidRPr="00883D74">
        <w:rPr>
          <w:rFonts w:ascii="Georgia" w:eastAsia="Times New Roman" w:hAnsi="Georgia" w:cs="Times New Roman"/>
          <w:color w:val="303030"/>
          <w:sz w:val="28"/>
        </w:rPr>
        <w:t>SOARCA</w:t>
      </w:r>
      <w:r w:rsidR="00E7062E" w:rsidRPr="00883D74">
        <w:rPr>
          <w:rFonts w:ascii="Georgia" w:eastAsia="Times New Roman" w:hAnsi="Georgia" w:cs="Times New Roman"/>
          <w:color w:val="303030"/>
          <w:sz w:val="28"/>
        </w:rPr>
        <w:t>”) scenarios, or implementation</w:t>
      </w:r>
      <w:r w:rsidRPr="00883D74">
        <w:rPr>
          <w:rFonts w:ascii="Georgia" w:eastAsia="Times New Roman" w:hAnsi="Georgia" w:cs="Times New Roman"/>
          <w:color w:val="303030"/>
          <w:sz w:val="28"/>
        </w:rPr>
        <w:t xml:space="preserve"> o</w:t>
      </w:r>
      <w:r w:rsidR="00323DE1" w:rsidRPr="00883D74">
        <w:rPr>
          <w:rFonts w:ascii="Georgia" w:eastAsia="Times New Roman" w:hAnsi="Georgia" w:cs="Times New Roman"/>
          <w:color w:val="303030"/>
          <w:sz w:val="28"/>
        </w:rPr>
        <w:t>f a no-</w:t>
      </w:r>
      <w:r w:rsidRPr="00883D74">
        <w:rPr>
          <w:rFonts w:ascii="Georgia" w:eastAsia="Times New Roman" w:hAnsi="Georgia" w:cs="Times New Roman"/>
          <w:color w:val="303030"/>
          <w:sz w:val="28"/>
        </w:rPr>
        <w:t>fly zone.</w:t>
      </w:r>
      <w:r w:rsidR="00323DE1" w:rsidRPr="00883D74">
        <w:rPr>
          <w:rFonts w:ascii="Georgia" w:eastAsiaTheme="minorEastAsia" w:hAnsi="Georgia" w:cs="Arial"/>
          <w:sz w:val="28"/>
          <w:szCs w:val="30"/>
        </w:rPr>
        <w:t xml:space="preserve"> </w:t>
      </w:r>
      <w:r w:rsidR="00705BCE">
        <w:rPr>
          <w:rFonts w:ascii="Georgia" w:eastAsiaTheme="minorEastAsia" w:hAnsi="Georgia" w:cs="Arial"/>
          <w:sz w:val="28"/>
          <w:szCs w:val="30"/>
        </w:rPr>
        <w:t xml:space="preserve">  </w:t>
      </w:r>
      <w:r w:rsidR="00AB3E18">
        <w:rPr>
          <w:rFonts w:ascii="Georgia" w:eastAsiaTheme="minorEastAsia" w:hAnsi="Georgia" w:cs="Arial"/>
          <w:sz w:val="28"/>
          <w:szCs w:val="30"/>
        </w:rPr>
        <w:t xml:space="preserve"> </w:t>
      </w:r>
    </w:p>
    <w:p w:rsidR="00323DE1" w:rsidRPr="00883D74" w:rsidRDefault="000215F4" w:rsidP="000215F4">
      <w:pPr>
        <w:ind w:firstLine="720"/>
        <w:rPr>
          <w:rFonts w:ascii="Georgia" w:hAnsi="Georgia"/>
          <w:color w:val="222222"/>
          <w:sz w:val="28"/>
        </w:rPr>
      </w:pPr>
      <w:r w:rsidRPr="00883D74">
        <w:rPr>
          <w:rFonts w:ascii="Georgia" w:eastAsiaTheme="minorEastAsia" w:hAnsi="Georgia" w:cs="Arial"/>
          <w:sz w:val="28"/>
          <w:szCs w:val="30"/>
        </w:rPr>
        <w:t xml:space="preserve"> </w:t>
      </w:r>
      <w:r w:rsidR="00986D2E">
        <w:rPr>
          <w:rFonts w:ascii="Georgia" w:eastAsiaTheme="minorEastAsia" w:hAnsi="Georgia" w:cs="Arial"/>
          <w:sz w:val="28"/>
          <w:szCs w:val="30"/>
        </w:rPr>
        <w:tab/>
      </w:r>
      <w:r w:rsidR="00986D2E">
        <w:rPr>
          <w:rFonts w:ascii="Georgia" w:eastAsiaTheme="minorEastAsia" w:hAnsi="Georgia" w:cs="Arial"/>
          <w:sz w:val="28"/>
          <w:szCs w:val="30"/>
        </w:rPr>
        <w:tab/>
      </w:r>
      <w:r w:rsidR="00986D2E">
        <w:rPr>
          <w:rFonts w:ascii="Georgia" w:eastAsiaTheme="minorEastAsia" w:hAnsi="Georgia" w:cs="Arial"/>
          <w:sz w:val="28"/>
          <w:szCs w:val="30"/>
        </w:rPr>
        <w:tab/>
      </w:r>
      <w:r w:rsidR="00986D2E">
        <w:rPr>
          <w:rFonts w:ascii="Georgia" w:eastAsiaTheme="minorEastAsia" w:hAnsi="Georgia" w:cs="Arial"/>
          <w:sz w:val="28"/>
          <w:szCs w:val="30"/>
        </w:rPr>
        <w:tab/>
      </w:r>
      <w:r w:rsidR="00986D2E">
        <w:rPr>
          <w:rFonts w:ascii="Georgia" w:eastAsiaTheme="minorEastAsia" w:hAnsi="Georgia" w:cs="Arial"/>
          <w:sz w:val="28"/>
          <w:szCs w:val="30"/>
        </w:rPr>
        <w:tab/>
      </w:r>
      <w:r w:rsidR="0043241F">
        <w:rPr>
          <w:rFonts w:ascii="Georgia" w:eastAsiaTheme="minorEastAsia" w:hAnsi="Georgia" w:cs="Arial"/>
          <w:sz w:val="28"/>
          <w:szCs w:val="30"/>
        </w:rPr>
        <w:tab/>
      </w:r>
      <w:r w:rsidR="0043241F">
        <w:rPr>
          <w:rFonts w:ascii="Georgia" w:eastAsiaTheme="minorEastAsia" w:hAnsi="Georgia" w:cs="Arial"/>
          <w:sz w:val="28"/>
          <w:szCs w:val="30"/>
        </w:rPr>
        <w:tab/>
      </w:r>
    </w:p>
    <w:p w:rsidR="003E1D53" w:rsidRPr="00AB3E18" w:rsidRDefault="00CB66DA" w:rsidP="0043241F">
      <w:pPr>
        <w:widowControl w:val="0"/>
        <w:autoSpaceDE w:val="0"/>
        <w:autoSpaceDN w:val="0"/>
        <w:adjustRightInd w:val="0"/>
        <w:spacing w:after="240"/>
        <w:ind w:firstLine="720"/>
        <w:rPr>
          <w:rFonts w:ascii="Georgia" w:eastAsiaTheme="minorEastAsia" w:hAnsi="Georgia" w:cs="Arial"/>
          <w:sz w:val="28"/>
          <w:szCs w:val="30"/>
        </w:rPr>
      </w:pPr>
      <w:r w:rsidRPr="00883D74">
        <w:rPr>
          <w:rFonts w:ascii="Georgia" w:eastAsiaTheme="minorEastAsia" w:hAnsi="Georgia" w:cs="Arial"/>
          <w:sz w:val="28"/>
          <w:szCs w:val="30"/>
        </w:rPr>
        <w:t>The</w:t>
      </w:r>
      <w:r w:rsidR="006B448D">
        <w:rPr>
          <w:rFonts w:ascii="Georgia" w:eastAsiaTheme="minorEastAsia" w:hAnsi="Georgia" w:cs="Arial"/>
          <w:sz w:val="28"/>
          <w:szCs w:val="30"/>
        </w:rPr>
        <w:t xml:space="preserve"> Nuclear Regulatory Commission </w:t>
      </w:r>
      <w:r w:rsidRPr="00883D74">
        <w:rPr>
          <w:rFonts w:ascii="Georgia" w:eastAsiaTheme="minorEastAsia" w:hAnsi="Georgia" w:cs="Arial"/>
          <w:sz w:val="28"/>
          <w:szCs w:val="30"/>
        </w:rPr>
        <w:t xml:space="preserve">admits: </w:t>
      </w:r>
      <w:r w:rsidR="00080CE8" w:rsidRPr="00883D74">
        <w:rPr>
          <w:rFonts w:ascii="Georgia" w:eastAsiaTheme="minorEastAsia" w:hAnsi="Georgia" w:cs="Arial"/>
          <w:sz w:val="28"/>
          <w:szCs w:val="30"/>
        </w:rPr>
        <w:t xml:space="preserve">“NRC decommissioning trust funds </w:t>
      </w:r>
      <w:r w:rsidR="006B448D">
        <w:rPr>
          <w:rFonts w:ascii="Georgia" w:eastAsiaTheme="minorEastAsia" w:hAnsi="Georgia" w:cs="Arial"/>
          <w:sz w:val="28"/>
          <w:szCs w:val="30"/>
        </w:rPr>
        <w:t>[</w:t>
      </w:r>
      <w:r w:rsidR="006B448D" w:rsidRPr="006B448D">
        <w:rPr>
          <w:rFonts w:ascii="Georgia" w:eastAsiaTheme="minorEastAsia" w:hAnsi="Georgia" w:cs="Arial"/>
          <w:b/>
          <w:sz w:val="28"/>
          <w:szCs w:val="30"/>
        </w:rPr>
        <w:t>contributions derived from Pennsylvania Public Utility Commission tariffs</w:t>
      </w:r>
      <w:r w:rsidR="006B448D">
        <w:rPr>
          <w:rFonts w:ascii="Georgia" w:eastAsiaTheme="minorEastAsia" w:hAnsi="Georgia" w:cs="Arial"/>
          <w:sz w:val="28"/>
          <w:szCs w:val="30"/>
        </w:rPr>
        <w:t xml:space="preserve">] </w:t>
      </w:r>
      <w:r w:rsidR="00080CE8" w:rsidRPr="00883D74">
        <w:rPr>
          <w:rFonts w:ascii="Georgia" w:eastAsiaTheme="minorEastAsia" w:hAnsi="Georgia" w:cs="Arial"/>
          <w:sz w:val="28"/>
          <w:szCs w:val="30"/>
        </w:rPr>
        <w:t xml:space="preserve">are used for decommissioning as defined and regulated by the NRC. </w:t>
      </w:r>
      <w:r w:rsidR="00080CE8" w:rsidRPr="00705BCE">
        <w:rPr>
          <w:rFonts w:ascii="Georgia" w:eastAsiaTheme="minorEastAsia" w:hAnsi="Georgia" w:cs="Arial"/>
          <w:sz w:val="28"/>
          <w:szCs w:val="30"/>
        </w:rPr>
        <w:t>The NRC formulas address only those decommissioning costs needed to remove a facility or site safely from service and reduce radioactivity to safe levels to allow for termination of the license.</w:t>
      </w:r>
      <w:r w:rsidR="0043241F">
        <w:rPr>
          <w:rFonts w:ascii="Georgia" w:eastAsiaTheme="minorEastAsia" w:hAnsi="Georgia" w:cs="Arial"/>
          <w:b/>
          <w:sz w:val="28"/>
          <w:szCs w:val="30"/>
        </w:rPr>
        <w:t xml:space="preserve">” </w:t>
      </w:r>
    </w:p>
    <w:p w:rsidR="00822DB7" w:rsidRPr="001C295B" w:rsidRDefault="003E1D53" w:rsidP="001C295B">
      <w:pPr>
        <w:widowControl w:val="0"/>
        <w:autoSpaceDE w:val="0"/>
        <w:autoSpaceDN w:val="0"/>
        <w:adjustRightInd w:val="0"/>
        <w:spacing w:after="240"/>
        <w:ind w:left="720"/>
        <w:rPr>
          <w:rFonts w:ascii="Georgia" w:eastAsiaTheme="minorEastAsia" w:hAnsi="Georgia" w:cs="Arial"/>
          <w:b/>
          <w:sz w:val="28"/>
          <w:szCs w:val="30"/>
        </w:rPr>
      </w:pPr>
      <w:r>
        <w:rPr>
          <w:rFonts w:ascii="Georgia" w:eastAsiaTheme="minorEastAsia" w:hAnsi="Georgia" w:cs="Arial"/>
          <w:b/>
          <w:sz w:val="28"/>
          <w:szCs w:val="30"/>
        </w:rPr>
        <w:t>“</w:t>
      </w:r>
      <w:r w:rsidR="00DF6935">
        <w:rPr>
          <w:rFonts w:ascii="Georgia" w:eastAsiaTheme="minorEastAsia" w:hAnsi="Georgia" w:cs="Arial"/>
          <w:b/>
          <w:sz w:val="28"/>
          <w:szCs w:val="30"/>
        </w:rPr>
        <w:t>…</w:t>
      </w:r>
      <w:proofErr w:type="gramStart"/>
      <w:r w:rsidR="00DF6935">
        <w:rPr>
          <w:rFonts w:ascii="Georgia" w:eastAsiaTheme="minorEastAsia" w:hAnsi="Georgia" w:cs="Arial"/>
          <w:b/>
          <w:sz w:val="28"/>
          <w:szCs w:val="30"/>
        </w:rPr>
        <w:t>t</w:t>
      </w:r>
      <w:r w:rsidR="00080CE8" w:rsidRPr="00883D74">
        <w:rPr>
          <w:rFonts w:ascii="Georgia" w:eastAsiaTheme="minorEastAsia" w:hAnsi="Georgia" w:cs="Arial"/>
          <w:b/>
          <w:sz w:val="28"/>
          <w:szCs w:val="30"/>
        </w:rPr>
        <w:t>he</w:t>
      </w:r>
      <w:proofErr w:type="gramEnd"/>
      <w:r w:rsidR="00080CE8" w:rsidRPr="00883D74">
        <w:rPr>
          <w:rFonts w:ascii="Georgia" w:eastAsiaTheme="minorEastAsia" w:hAnsi="Georgia" w:cs="Arial"/>
          <w:b/>
          <w:sz w:val="28"/>
          <w:szCs w:val="30"/>
        </w:rPr>
        <w:t xml:space="preserve"> costs of removal of non-radiological systems and structures are not included in the NRC decommissioning cost formulas. In addition, the costs of managing and storing spent fuel on site until transfer to the Department of Energy for permanent disposal are not included in NRC decommissioning cost formulas. The NRC does not ensure that there are sufficient funds to br</w:t>
      </w:r>
      <w:r w:rsidR="00841417" w:rsidRPr="00883D74">
        <w:rPr>
          <w:rFonts w:ascii="Georgia" w:eastAsiaTheme="minorEastAsia" w:hAnsi="Georgia" w:cs="Arial"/>
          <w:b/>
          <w:sz w:val="28"/>
          <w:szCs w:val="30"/>
        </w:rPr>
        <w:t>ing a site to G</w:t>
      </w:r>
      <w:r w:rsidR="00707D83" w:rsidRPr="00883D74">
        <w:rPr>
          <w:rFonts w:ascii="Georgia" w:eastAsiaTheme="minorEastAsia" w:hAnsi="Georgia" w:cs="Arial"/>
          <w:b/>
          <w:sz w:val="28"/>
          <w:szCs w:val="30"/>
        </w:rPr>
        <w:t>reenfield status</w:t>
      </w:r>
      <w:r w:rsidR="00C3441F" w:rsidRPr="00DF6935">
        <w:rPr>
          <w:rFonts w:ascii="Georgia" w:eastAsiaTheme="minorEastAsia" w:hAnsi="Georgia" w:cs="Arial"/>
          <w:sz w:val="28"/>
          <w:szCs w:val="30"/>
        </w:rPr>
        <w:t>.</w:t>
      </w:r>
      <w:r w:rsidR="006B448D">
        <w:rPr>
          <w:rFonts w:ascii="Georgia" w:eastAsiaTheme="minorEastAsia" w:hAnsi="Georgia" w:cs="Arial"/>
          <w:sz w:val="28"/>
          <w:szCs w:val="30"/>
        </w:rPr>
        <w:t>”</w:t>
      </w:r>
      <w:r w:rsidR="00707D83" w:rsidRPr="00DF6935">
        <w:rPr>
          <w:rFonts w:ascii="Georgia" w:eastAsiaTheme="minorEastAsia" w:hAnsi="Georgia" w:cs="Arial"/>
          <w:sz w:val="28"/>
          <w:szCs w:val="30"/>
        </w:rPr>
        <w:t xml:space="preserve"> </w:t>
      </w:r>
      <w:r w:rsidR="00BC71AD" w:rsidRPr="00DF6935">
        <w:rPr>
          <w:rFonts w:ascii="Georgia" w:eastAsiaTheme="minorEastAsia" w:hAnsi="Georgia" w:cs="Arial"/>
          <w:sz w:val="28"/>
          <w:szCs w:val="30"/>
        </w:rPr>
        <w:t>(</w:t>
      </w:r>
      <w:r w:rsidR="00080CE8" w:rsidRPr="00DF6935">
        <w:rPr>
          <w:rFonts w:ascii="Georgia" w:eastAsiaTheme="minorEastAsia" w:hAnsi="Georgia" w:cs="Arial"/>
          <w:sz w:val="28"/>
          <w:szCs w:val="30"/>
        </w:rPr>
        <w:t xml:space="preserve">Communication Strategy for the Enhancement of Public Awareness Regarding Power Reactors Transitioning to Decommissioning, </w:t>
      </w:r>
      <w:proofErr w:type="gramStart"/>
      <w:r w:rsidR="00080CE8" w:rsidRPr="00DF6935">
        <w:rPr>
          <w:rFonts w:ascii="Georgia" w:eastAsiaTheme="minorEastAsia" w:hAnsi="Georgia" w:cs="Arial"/>
          <w:sz w:val="28"/>
          <w:szCs w:val="30"/>
        </w:rPr>
        <w:t>February,</w:t>
      </w:r>
      <w:proofErr w:type="gramEnd"/>
      <w:r w:rsidR="00080CE8" w:rsidRPr="00DF6935">
        <w:rPr>
          <w:rFonts w:ascii="Georgia" w:eastAsiaTheme="minorEastAsia" w:hAnsi="Georgia" w:cs="Arial"/>
          <w:sz w:val="28"/>
          <w:szCs w:val="30"/>
        </w:rPr>
        <w:t xml:space="preserve"> 2015</w:t>
      </w:r>
      <w:r w:rsidR="00F35713" w:rsidRPr="00DF6935">
        <w:rPr>
          <w:rFonts w:ascii="Georgia" w:eastAsiaTheme="minorEastAsia" w:hAnsi="Georgia" w:cs="Arial"/>
          <w:sz w:val="28"/>
          <w:szCs w:val="30"/>
        </w:rPr>
        <w:t>.</w:t>
      </w:r>
      <w:r w:rsidR="00E7062E" w:rsidRPr="00DF6935">
        <w:rPr>
          <w:rFonts w:ascii="Georgia" w:eastAsiaTheme="minorEastAsia" w:hAnsi="Georgia" w:cs="Arial"/>
          <w:sz w:val="28"/>
          <w:szCs w:val="30"/>
        </w:rPr>
        <w:t>)</w:t>
      </w:r>
    </w:p>
    <w:p w:rsidR="003D16A2" w:rsidRPr="00883D74" w:rsidRDefault="00A3290E" w:rsidP="00822DB7">
      <w:pPr>
        <w:pStyle w:val="NormalWeb"/>
        <w:ind w:left="2880" w:firstLine="720"/>
        <w:rPr>
          <w:rFonts w:ascii="Georgia" w:hAnsi="Georgia"/>
          <w:sz w:val="28"/>
        </w:rPr>
      </w:pPr>
      <w:r>
        <w:rPr>
          <w:rFonts w:ascii="Georgia" w:hAnsi="Georgia"/>
          <w:b/>
          <w:bCs/>
          <w:color w:val="303030"/>
          <w:sz w:val="28"/>
          <w:szCs w:val="22"/>
        </w:rPr>
        <w:t xml:space="preserve"> </w:t>
      </w:r>
      <w:r w:rsidR="00853794" w:rsidRPr="00883D74">
        <w:rPr>
          <w:rFonts w:ascii="Georgia" w:hAnsi="Georgia"/>
          <w:b/>
          <w:bCs/>
          <w:color w:val="303030"/>
          <w:sz w:val="28"/>
          <w:szCs w:val="22"/>
        </w:rPr>
        <w:t xml:space="preserve"> </w:t>
      </w:r>
      <w:r w:rsidR="00822DB7" w:rsidRPr="00883D74">
        <w:rPr>
          <w:rFonts w:ascii="Georgia" w:hAnsi="Georgia"/>
          <w:b/>
          <w:bCs/>
          <w:color w:val="303030"/>
          <w:sz w:val="28"/>
          <w:szCs w:val="22"/>
        </w:rPr>
        <w:t>Conclusion</w:t>
      </w:r>
      <w:r w:rsidR="00853794" w:rsidRPr="00883D74">
        <w:rPr>
          <w:rFonts w:ascii="Georgia" w:hAnsi="Georgia"/>
          <w:b/>
          <w:bCs/>
          <w:color w:val="303030"/>
          <w:sz w:val="28"/>
          <w:szCs w:val="22"/>
        </w:rPr>
        <w:t>.</w:t>
      </w:r>
      <w:r w:rsidR="003D16A2" w:rsidRPr="00883D74">
        <w:rPr>
          <w:rFonts w:ascii="Georgia" w:hAnsi="Georgia"/>
          <w:b/>
          <w:bCs/>
          <w:color w:val="303030"/>
          <w:sz w:val="28"/>
          <w:szCs w:val="22"/>
        </w:rPr>
        <w:t xml:space="preserve"> </w:t>
      </w:r>
    </w:p>
    <w:p w:rsidR="001C295B" w:rsidRDefault="003D16A2" w:rsidP="003C0C08">
      <w:pPr>
        <w:pStyle w:val="NormalWeb"/>
        <w:ind w:firstLine="720"/>
        <w:rPr>
          <w:rFonts w:ascii="Georgia" w:hAnsi="Georgia"/>
          <w:b/>
          <w:color w:val="303030"/>
          <w:sz w:val="28"/>
          <w:szCs w:val="22"/>
        </w:rPr>
      </w:pPr>
      <w:r w:rsidRPr="00B23E69">
        <w:rPr>
          <w:rFonts w:ascii="Georgia" w:hAnsi="Georgia"/>
          <w:b/>
          <w:color w:val="303030"/>
          <w:sz w:val="28"/>
          <w:szCs w:val="22"/>
          <w:highlight w:val="yellow"/>
        </w:rPr>
        <w:t>The proposed exem</w:t>
      </w:r>
      <w:r w:rsidR="00822DB7" w:rsidRPr="00B23E69">
        <w:rPr>
          <w:rFonts w:ascii="Georgia" w:hAnsi="Georgia"/>
          <w:b/>
          <w:color w:val="303030"/>
          <w:sz w:val="28"/>
          <w:szCs w:val="22"/>
          <w:highlight w:val="yellow"/>
        </w:rPr>
        <w:t xml:space="preserve">ptions would allow Exelon to </w:t>
      </w:r>
      <w:proofErr w:type="gramStart"/>
      <w:r w:rsidR="00822DB7" w:rsidRPr="00B23E69">
        <w:rPr>
          <w:rFonts w:ascii="Georgia" w:hAnsi="Georgia"/>
          <w:b/>
          <w:color w:val="303030"/>
          <w:sz w:val="28"/>
          <w:szCs w:val="22"/>
          <w:highlight w:val="yellow"/>
        </w:rPr>
        <w:t xml:space="preserve">subvert </w:t>
      </w:r>
      <w:r w:rsidR="006D27A5" w:rsidRPr="00B23E69">
        <w:rPr>
          <w:rFonts w:ascii="Georgia" w:hAnsi="Georgia"/>
          <w:b/>
          <w:color w:val="303030"/>
          <w:sz w:val="28"/>
          <w:szCs w:val="22"/>
          <w:highlight w:val="yellow"/>
        </w:rPr>
        <w:t xml:space="preserve"> the</w:t>
      </w:r>
      <w:proofErr w:type="gramEnd"/>
      <w:r w:rsidR="006D27A5" w:rsidRPr="00B23E69">
        <w:rPr>
          <w:rFonts w:ascii="Georgia" w:hAnsi="Georgia"/>
          <w:b/>
          <w:color w:val="303030"/>
          <w:sz w:val="28"/>
          <w:szCs w:val="22"/>
          <w:highlight w:val="yellow"/>
        </w:rPr>
        <w:t xml:space="preserve"> TMI</w:t>
      </w:r>
      <w:r w:rsidRPr="00B23E69">
        <w:rPr>
          <w:rFonts w:ascii="Georgia" w:hAnsi="Georgia"/>
          <w:b/>
          <w:color w:val="303030"/>
          <w:sz w:val="28"/>
          <w:szCs w:val="22"/>
          <w:highlight w:val="yellow"/>
        </w:rPr>
        <w:t>-1 dec</w:t>
      </w:r>
      <w:r w:rsidR="00A3290E" w:rsidRPr="00B23E69">
        <w:rPr>
          <w:rFonts w:ascii="Georgia" w:hAnsi="Georgia"/>
          <w:b/>
          <w:color w:val="303030"/>
          <w:sz w:val="28"/>
          <w:szCs w:val="22"/>
          <w:highlight w:val="yellow"/>
        </w:rPr>
        <w:t xml:space="preserve">ommissioning trust fund for </w:t>
      </w:r>
      <w:r w:rsidR="006D27A5" w:rsidRPr="00B23E69">
        <w:rPr>
          <w:rFonts w:ascii="Georgia" w:hAnsi="Georgia"/>
          <w:b/>
          <w:color w:val="303030"/>
          <w:sz w:val="28"/>
          <w:szCs w:val="22"/>
          <w:highlight w:val="yellow"/>
        </w:rPr>
        <w:t>s</w:t>
      </w:r>
      <w:r w:rsidR="00E8660A" w:rsidRPr="00B23E69">
        <w:rPr>
          <w:rFonts w:ascii="Georgia" w:hAnsi="Georgia"/>
          <w:b/>
          <w:color w:val="303030"/>
          <w:sz w:val="28"/>
          <w:szCs w:val="22"/>
          <w:highlight w:val="yellow"/>
        </w:rPr>
        <w:t>p</w:t>
      </w:r>
      <w:r w:rsidR="006D27A5" w:rsidRPr="00B23E69">
        <w:rPr>
          <w:rFonts w:ascii="Georgia" w:hAnsi="Georgia"/>
          <w:b/>
          <w:color w:val="303030"/>
          <w:sz w:val="28"/>
          <w:szCs w:val="22"/>
          <w:highlight w:val="yellow"/>
        </w:rPr>
        <w:t xml:space="preserve">ent fuel </w:t>
      </w:r>
      <w:r w:rsidRPr="00B23E69">
        <w:rPr>
          <w:rFonts w:ascii="Georgia" w:hAnsi="Georgia"/>
          <w:b/>
          <w:color w:val="303030"/>
          <w:sz w:val="28"/>
          <w:szCs w:val="22"/>
          <w:highlight w:val="yellow"/>
        </w:rPr>
        <w:t xml:space="preserve">management </w:t>
      </w:r>
      <w:r w:rsidR="00E8660A" w:rsidRPr="00B23E69">
        <w:rPr>
          <w:rFonts w:ascii="Georgia" w:hAnsi="Georgia"/>
          <w:b/>
          <w:color w:val="303030"/>
          <w:sz w:val="28"/>
          <w:szCs w:val="22"/>
          <w:highlight w:val="yellow"/>
        </w:rPr>
        <w:t>which is a core</w:t>
      </w:r>
      <w:r w:rsidR="006D27A5" w:rsidRPr="00B23E69">
        <w:rPr>
          <w:rFonts w:ascii="Georgia" w:hAnsi="Georgia"/>
          <w:b/>
          <w:color w:val="303030"/>
          <w:sz w:val="28"/>
          <w:szCs w:val="22"/>
          <w:highlight w:val="yellow"/>
        </w:rPr>
        <w:t xml:space="preserve"> function of nuclear power operations. Pennsylvania ratepayers should </w:t>
      </w:r>
      <w:r w:rsidR="00E8660A" w:rsidRPr="00B23E69">
        <w:rPr>
          <w:rFonts w:ascii="Georgia" w:hAnsi="Georgia"/>
          <w:b/>
          <w:color w:val="303030"/>
          <w:sz w:val="28"/>
          <w:szCs w:val="22"/>
          <w:highlight w:val="yellow"/>
        </w:rPr>
        <w:t xml:space="preserve">not </w:t>
      </w:r>
      <w:r w:rsidR="006D27A5" w:rsidRPr="00B23E69">
        <w:rPr>
          <w:rFonts w:ascii="Georgia" w:hAnsi="Georgia"/>
          <w:b/>
          <w:color w:val="303030"/>
          <w:sz w:val="28"/>
          <w:szCs w:val="22"/>
          <w:highlight w:val="yellow"/>
        </w:rPr>
        <w:t>be subsidizing Exelon’s poor corporate decision to delay construction of dry casks. Tax</w:t>
      </w:r>
      <w:r w:rsidRPr="00B23E69">
        <w:rPr>
          <w:rFonts w:ascii="Georgia" w:hAnsi="Georgia"/>
          <w:b/>
          <w:color w:val="303030"/>
          <w:sz w:val="28"/>
          <w:szCs w:val="22"/>
          <w:highlight w:val="yellow"/>
        </w:rPr>
        <w:t>payers</w:t>
      </w:r>
      <w:r w:rsidR="006D27A5" w:rsidRPr="00B23E69">
        <w:rPr>
          <w:rFonts w:ascii="Georgia" w:hAnsi="Georgia"/>
          <w:b/>
          <w:color w:val="303030"/>
          <w:sz w:val="28"/>
          <w:szCs w:val="22"/>
          <w:highlight w:val="yellow"/>
        </w:rPr>
        <w:t>, through the Department of Energy’s settlement with Exelon, have</w:t>
      </w:r>
      <w:r w:rsidRPr="00B23E69">
        <w:rPr>
          <w:rFonts w:ascii="Georgia" w:hAnsi="Georgia"/>
          <w:b/>
          <w:color w:val="303030"/>
          <w:sz w:val="28"/>
          <w:szCs w:val="22"/>
          <w:highlight w:val="yellow"/>
        </w:rPr>
        <w:t xml:space="preserve"> already furnished TMI with additional </w:t>
      </w:r>
      <w:r w:rsidR="006D27A5" w:rsidRPr="00B23E69">
        <w:rPr>
          <w:rFonts w:ascii="Georgia" w:hAnsi="Georgia"/>
          <w:b/>
          <w:color w:val="303030"/>
          <w:sz w:val="28"/>
          <w:szCs w:val="22"/>
        </w:rPr>
        <w:t>millions in funds for spent fuel management</w:t>
      </w:r>
      <w:r w:rsidRPr="00B23E69">
        <w:rPr>
          <w:rFonts w:ascii="Georgia" w:hAnsi="Georgia"/>
          <w:b/>
          <w:color w:val="303030"/>
          <w:sz w:val="28"/>
          <w:szCs w:val="22"/>
        </w:rPr>
        <w:t>.</w:t>
      </w:r>
    </w:p>
    <w:p w:rsidR="003D16A2" w:rsidRPr="001C295B" w:rsidRDefault="001C295B" w:rsidP="001C295B">
      <w:pPr>
        <w:pStyle w:val="NormalWeb"/>
        <w:ind w:firstLine="720"/>
        <w:rPr>
          <w:rFonts w:ascii="Georgia" w:hAnsi="Georgia"/>
          <w:color w:val="303030"/>
          <w:sz w:val="28"/>
          <w:szCs w:val="22"/>
        </w:rPr>
      </w:pPr>
      <w:r>
        <w:rPr>
          <w:rFonts w:ascii="Georgia" w:hAnsi="Georgia"/>
          <w:b/>
          <w:color w:val="303030"/>
          <w:sz w:val="28"/>
          <w:szCs w:val="22"/>
        </w:rPr>
        <w:tab/>
      </w:r>
      <w:r>
        <w:rPr>
          <w:rFonts w:ascii="Georgia" w:hAnsi="Georgia"/>
          <w:b/>
          <w:color w:val="303030"/>
          <w:sz w:val="28"/>
          <w:szCs w:val="22"/>
        </w:rPr>
        <w:tab/>
      </w:r>
      <w:r>
        <w:rPr>
          <w:rFonts w:ascii="Georgia" w:hAnsi="Georgia"/>
          <w:b/>
          <w:color w:val="303030"/>
          <w:sz w:val="28"/>
          <w:szCs w:val="22"/>
        </w:rPr>
        <w:tab/>
      </w:r>
      <w:r>
        <w:rPr>
          <w:rFonts w:ascii="Georgia" w:hAnsi="Georgia"/>
          <w:b/>
          <w:color w:val="303030"/>
          <w:sz w:val="28"/>
          <w:szCs w:val="22"/>
        </w:rPr>
        <w:tab/>
      </w:r>
      <w:r>
        <w:rPr>
          <w:rFonts w:ascii="Georgia" w:hAnsi="Georgia"/>
          <w:b/>
          <w:color w:val="303030"/>
          <w:sz w:val="28"/>
          <w:szCs w:val="22"/>
        </w:rPr>
        <w:tab/>
        <w:t xml:space="preserve">       </w:t>
      </w:r>
      <w:r>
        <w:rPr>
          <w:rFonts w:ascii="Georgia" w:hAnsi="Georgia"/>
          <w:color w:val="303030"/>
          <w:sz w:val="28"/>
          <w:szCs w:val="22"/>
        </w:rPr>
        <w:t>4</w:t>
      </w:r>
    </w:p>
    <w:p w:rsidR="003D16A2" w:rsidRPr="003C0C08" w:rsidRDefault="003D16A2" w:rsidP="00AD5004">
      <w:pPr>
        <w:pStyle w:val="NormalWeb"/>
        <w:ind w:firstLine="720"/>
        <w:rPr>
          <w:rFonts w:ascii="Georgia" w:hAnsi="Georgia"/>
          <w:sz w:val="28"/>
        </w:rPr>
      </w:pPr>
      <w:r w:rsidRPr="003C0C08">
        <w:rPr>
          <w:rFonts w:ascii="Georgia" w:hAnsi="Georgia"/>
          <w:color w:val="303030"/>
          <w:sz w:val="28"/>
          <w:szCs w:val="22"/>
        </w:rPr>
        <w:t>G</w:t>
      </w:r>
      <w:r w:rsidR="006D27A5" w:rsidRPr="003C0C08">
        <w:rPr>
          <w:rFonts w:ascii="Georgia" w:hAnsi="Georgia"/>
          <w:color w:val="303030"/>
          <w:sz w:val="28"/>
          <w:szCs w:val="22"/>
        </w:rPr>
        <w:t>ranting these exemptions is</w:t>
      </w:r>
      <w:r w:rsidRPr="003C0C08">
        <w:rPr>
          <w:rFonts w:ascii="Georgia" w:hAnsi="Georgia"/>
          <w:color w:val="303030"/>
          <w:sz w:val="28"/>
          <w:szCs w:val="22"/>
        </w:rPr>
        <w:t xml:space="preserve"> inconsistent with the purposes underlying NRC decommissioning regu</w:t>
      </w:r>
      <w:r w:rsidR="00AD5004" w:rsidRPr="003C0C08">
        <w:rPr>
          <w:rFonts w:ascii="Georgia" w:hAnsi="Georgia"/>
          <w:color w:val="303030"/>
          <w:sz w:val="28"/>
          <w:szCs w:val="22"/>
        </w:rPr>
        <w:t>lations as the exemptions: (1) W</w:t>
      </w:r>
      <w:r w:rsidRPr="003C0C08">
        <w:rPr>
          <w:rFonts w:ascii="Georgia" w:hAnsi="Georgia"/>
          <w:color w:val="303030"/>
          <w:sz w:val="28"/>
          <w:szCs w:val="22"/>
        </w:rPr>
        <w:t>ould foreclose release of the site for p</w:t>
      </w:r>
      <w:r w:rsidR="00AD5004" w:rsidRPr="003C0C08">
        <w:rPr>
          <w:rFonts w:ascii="Georgia" w:hAnsi="Georgia"/>
          <w:color w:val="303030"/>
          <w:sz w:val="28"/>
          <w:szCs w:val="22"/>
        </w:rPr>
        <w:t>ossible unrestricted use; (2) W</w:t>
      </w:r>
      <w:r w:rsidRPr="003C0C08">
        <w:rPr>
          <w:rFonts w:ascii="Georgia" w:hAnsi="Georgia"/>
          <w:color w:val="303030"/>
          <w:sz w:val="28"/>
          <w:szCs w:val="22"/>
        </w:rPr>
        <w:t xml:space="preserve">ould result </w:t>
      </w:r>
      <w:r w:rsidRPr="003C0C08">
        <w:rPr>
          <w:rFonts w:ascii="Georgia" w:hAnsi="Georgia"/>
          <w:color w:val="303030"/>
          <w:sz w:val="28"/>
          <w:szCs w:val="20"/>
        </w:rPr>
        <w:t xml:space="preserve">in </w:t>
      </w:r>
      <w:r w:rsidRPr="003C0C08">
        <w:rPr>
          <w:rFonts w:ascii="Georgia" w:hAnsi="Georgia"/>
          <w:color w:val="303030"/>
          <w:sz w:val="28"/>
          <w:szCs w:val="22"/>
        </w:rPr>
        <w:t xml:space="preserve">significant environmental impacts not previously reviewed by the NRC; </w:t>
      </w:r>
      <w:r w:rsidR="00AD5004" w:rsidRPr="003C0C08">
        <w:rPr>
          <w:rFonts w:ascii="Georgia" w:hAnsi="Georgia"/>
          <w:color w:val="333333"/>
          <w:sz w:val="28"/>
          <w:szCs w:val="22"/>
        </w:rPr>
        <w:t>and (3) W</w:t>
      </w:r>
      <w:r w:rsidRPr="003C0C08">
        <w:rPr>
          <w:rFonts w:ascii="Georgia" w:hAnsi="Georgia"/>
          <w:color w:val="333333"/>
          <w:sz w:val="28"/>
          <w:szCs w:val="22"/>
        </w:rPr>
        <w:t xml:space="preserve">ould undermine the existing and continuing reasonable assurance that adequate funds will be available for decommissioning. </w:t>
      </w:r>
    </w:p>
    <w:p w:rsidR="00077F11" w:rsidRPr="00883D74" w:rsidRDefault="00822DB7" w:rsidP="00665C75">
      <w:pPr>
        <w:pStyle w:val="NormalWeb"/>
        <w:ind w:firstLine="720"/>
        <w:rPr>
          <w:rFonts w:ascii="Georgia" w:eastAsiaTheme="minorEastAsia" w:hAnsi="Georgia" w:cs="Georgia"/>
          <w:sz w:val="28"/>
          <w:szCs w:val="28"/>
        </w:rPr>
      </w:pPr>
      <w:r w:rsidRPr="003C0C08">
        <w:rPr>
          <w:rFonts w:ascii="Georgia" w:hAnsi="Georgia"/>
          <w:color w:val="333333"/>
          <w:sz w:val="28"/>
          <w:szCs w:val="22"/>
        </w:rPr>
        <w:t>Pursuant to the provisions of 10</w:t>
      </w:r>
      <w:r w:rsidR="00EE646A" w:rsidRPr="003C0C08">
        <w:rPr>
          <w:rFonts w:ascii="Georgia" w:hAnsi="Georgia"/>
          <w:color w:val="333333"/>
          <w:sz w:val="28"/>
          <w:szCs w:val="22"/>
        </w:rPr>
        <w:t xml:space="preserve"> </w:t>
      </w:r>
      <w:r w:rsidR="003D16A2" w:rsidRPr="003C0C08">
        <w:rPr>
          <w:rFonts w:ascii="Georgia" w:hAnsi="Georgia"/>
          <w:color w:val="333333"/>
          <w:sz w:val="28"/>
          <w:szCs w:val="22"/>
        </w:rPr>
        <w:t>CFR 5</w:t>
      </w:r>
      <w:r w:rsidR="00A3290E">
        <w:rPr>
          <w:rFonts w:ascii="Georgia" w:hAnsi="Georgia"/>
          <w:color w:val="333333"/>
          <w:sz w:val="28"/>
          <w:szCs w:val="22"/>
        </w:rPr>
        <w:t>0.12, TMI-Alert</w:t>
      </w:r>
      <w:r w:rsidR="003B188E" w:rsidRPr="003C0C08">
        <w:rPr>
          <w:rFonts w:ascii="Georgia" w:hAnsi="Georgia"/>
          <w:color w:val="333333"/>
          <w:sz w:val="28"/>
          <w:szCs w:val="22"/>
        </w:rPr>
        <w:t xml:space="preserve"> strongly opposes</w:t>
      </w:r>
      <w:r w:rsidR="00AD5004" w:rsidRPr="003C0C08">
        <w:rPr>
          <w:rFonts w:ascii="Georgia" w:hAnsi="Georgia"/>
          <w:color w:val="333333"/>
          <w:sz w:val="28"/>
          <w:szCs w:val="22"/>
        </w:rPr>
        <w:t xml:space="preserve"> </w:t>
      </w:r>
      <w:r w:rsidR="003D16A2" w:rsidRPr="003C0C08">
        <w:rPr>
          <w:rFonts w:ascii="Georgia" w:hAnsi="Georgia"/>
          <w:color w:val="333333"/>
          <w:sz w:val="28"/>
          <w:szCs w:val="22"/>
        </w:rPr>
        <w:t xml:space="preserve">permanent </w:t>
      </w:r>
      <w:r w:rsidR="00AD5004" w:rsidRPr="003C0C08">
        <w:rPr>
          <w:rFonts w:ascii="Georgia" w:hAnsi="Georgia"/>
          <w:color w:val="333333"/>
          <w:sz w:val="28"/>
          <w:szCs w:val="22"/>
        </w:rPr>
        <w:t xml:space="preserve">or temporary </w:t>
      </w:r>
      <w:r w:rsidR="003D16A2" w:rsidRPr="003C0C08">
        <w:rPr>
          <w:rFonts w:ascii="Georgia" w:hAnsi="Georgia"/>
          <w:color w:val="333333"/>
          <w:sz w:val="28"/>
          <w:szCs w:val="22"/>
        </w:rPr>
        <w:t>exemption</w:t>
      </w:r>
      <w:r w:rsidR="00AD5004" w:rsidRPr="003C0C08">
        <w:rPr>
          <w:rFonts w:ascii="Georgia" w:hAnsi="Georgia"/>
          <w:color w:val="333333"/>
          <w:sz w:val="28"/>
          <w:szCs w:val="22"/>
        </w:rPr>
        <w:t>s</w:t>
      </w:r>
      <w:r w:rsidR="003D16A2" w:rsidRPr="003C0C08">
        <w:rPr>
          <w:rFonts w:ascii="Georgia" w:hAnsi="Georgia"/>
          <w:color w:val="333333"/>
          <w:sz w:val="28"/>
          <w:szCs w:val="22"/>
        </w:rPr>
        <w:t xml:space="preserve"> from 10 CFR 50.82(a)(8)(</w:t>
      </w:r>
      <w:proofErr w:type="spellStart"/>
      <w:r w:rsidR="003D16A2" w:rsidRPr="003C0C08">
        <w:rPr>
          <w:rFonts w:ascii="Georgia" w:hAnsi="Georgia"/>
          <w:color w:val="333333"/>
          <w:sz w:val="28"/>
          <w:szCs w:val="22"/>
        </w:rPr>
        <w:t>i</w:t>
      </w:r>
      <w:proofErr w:type="spellEnd"/>
      <w:r w:rsidR="003D16A2" w:rsidRPr="003C0C08">
        <w:rPr>
          <w:rFonts w:ascii="Georgia" w:hAnsi="Georgia"/>
          <w:color w:val="333333"/>
          <w:sz w:val="28"/>
          <w:szCs w:val="22"/>
        </w:rPr>
        <w:t>)(A) and 10 CFR 50.75(h)(1)(</w:t>
      </w:r>
      <w:proofErr w:type="gramStart"/>
      <w:r w:rsidR="003D16A2" w:rsidRPr="003C0C08">
        <w:rPr>
          <w:rFonts w:ascii="Georgia" w:hAnsi="Georgia"/>
          <w:color w:val="333333"/>
          <w:sz w:val="28"/>
          <w:szCs w:val="22"/>
        </w:rPr>
        <w:t>iv</w:t>
      </w:r>
      <w:proofErr w:type="gramEnd"/>
      <w:r w:rsidR="003D16A2" w:rsidRPr="003C0C08">
        <w:rPr>
          <w:rFonts w:ascii="Georgia" w:hAnsi="Georgia"/>
          <w:color w:val="333333"/>
          <w:sz w:val="28"/>
          <w:szCs w:val="22"/>
        </w:rPr>
        <w:t>) for TMl-1. Based on the considerations discussed a</w:t>
      </w:r>
      <w:r w:rsidR="006D27A5" w:rsidRPr="003C0C08">
        <w:rPr>
          <w:rFonts w:ascii="Georgia" w:hAnsi="Georgia"/>
          <w:color w:val="333333"/>
          <w:sz w:val="28"/>
          <w:szCs w:val="22"/>
        </w:rPr>
        <w:t>bove, the requested exemption</w:t>
      </w:r>
      <w:r w:rsidR="003B188E" w:rsidRPr="003C0C08">
        <w:rPr>
          <w:rFonts w:ascii="Georgia" w:hAnsi="Georgia"/>
          <w:color w:val="333333"/>
          <w:sz w:val="28"/>
          <w:szCs w:val="22"/>
        </w:rPr>
        <w:t>s clearly undermine</w:t>
      </w:r>
      <w:r w:rsidR="00881C87" w:rsidRPr="003C0C08">
        <w:rPr>
          <w:rFonts w:ascii="Georgia" w:hAnsi="Georgia"/>
          <w:color w:val="333333"/>
          <w:sz w:val="28"/>
          <w:szCs w:val="22"/>
        </w:rPr>
        <w:t xml:space="preserve"> both</w:t>
      </w:r>
      <w:r w:rsidR="00727B98" w:rsidRPr="003C0C08">
        <w:rPr>
          <w:rFonts w:ascii="Georgia" w:hAnsi="Georgia"/>
          <w:color w:val="333333"/>
          <w:sz w:val="28"/>
          <w:szCs w:val="22"/>
        </w:rPr>
        <w:t xml:space="preserve"> </w:t>
      </w:r>
      <w:r w:rsidR="006D27A5" w:rsidRPr="003C0C08">
        <w:rPr>
          <w:rFonts w:ascii="Georgia" w:hAnsi="Georgia"/>
          <w:color w:val="333333"/>
          <w:sz w:val="28"/>
          <w:szCs w:val="22"/>
        </w:rPr>
        <w:t xml:space="preserve">state and </w:t>
      </w:r>
      <w:r w:rsidR="00AD5004" w:rsidRPr="003C0C08">
        <w:rPr>
          <w:rFonts w:ascii="Georgia" w:hAnsi="Georgia"/>
          <w:color w:val="333333"/>
          <w:sz w:val="28"/>
          <w:szCs w:val="22"/>
        </w:rPr>
        <w:t xml:space="preserve">federal </w:t>
      </w:r>
      <w:r w:rsidR="003D16A2" w:rsidRPr="003C0C08">
        <w:rPr>
          <w:rFonts w:ascii="Georgia" w:hAnsi="Georgia"/>
          <w:color w:val="333333"/>
          <w:sz w:val="28"/>
          <w:szCs w:val="22"/>
        </w:rPr>
        <w:t>law</w:t>
      </w:r>
      <w:r w:rsidR="00AD5004" w:rsidRPr="003C0C08">
        <w:rPr>
          <w:rFonts w:ascii="Georgia" w:hAnsi="Georgia"/>
          <w:color w:val="333333"/>
          <w:sz w:val="28"/>
          <w:szCs w:val="22"/>
        </w:rPr>
        <w:t>s</w:t>
      </w:r>
      <w:r w:rsidR="003D16A2" w:rsidRPr="003C0C08">
        <w:rPr>
          <w:rFonts w:ascii="Georgia" w:hAnsi="Georgia"/>
          <w:color w:val="333333"/>
          <w:sz w:val="28"/>
          <w:szCs w:val="22"/>
        </w:rPr>
        <w:t xml:space="preserve">, </w:t>
      </w:r>
      <w:r w:rsidR="00AD5004" w:rsidRPr="003C0C08">
        <w:rPr>
          <w:rFonts w:ascii="Georgia" w:hAnsi="Georgia"/>
          <w:color w:val="333333"/>
          <w:sz w:val="28"/>
          <w:szCs w:val="22"/>
        </w:rPr>
        <w:t xml:space="preserve">and </w:t>
      </w:r>
      <w:r w:rsidR="003D16A2" w:rsidRPr="003C0C08">
        <w:rPr>
          <w:rFonts w:ascii="Georgia" w:hAnsi="Georgia"/>
          <w:color w:val="333333"/>
          <w:sz w:val="28"/>
          <w:szCs w:val="22"/>
        </w:rPr>
        <w:t>present an undue risk to the public health and safety</w:t>
      </w:r>
      <w:r w:rsidR="00AD5004" w:rsidRPr="003C0C08">
        <w:rPr>
          <w:rFonts w:ascii="Georgia" w:hAnsi="Georgia"/>
          <w:color w:val="333333"/>
          <w:sz w:val="28"/>
          <w:szCs w:val="22"/>
        </w:rPr>
        <w:t>.</w:t>
      </w:r>
      <w:r w:rsidR="003B188E" w:rsidRPr="003C0C08">
        <w:rPr>
          <w:rFonts w:ascii="Georgia" w:hAnsi="Georgia"/>
          <w:color w:val="333333"/>
          <w:sz w:val="28"/>
          <w:szCs w:val="22"/>
        </w:rPr>
        <w:t xml:space="preserve"> </w:t>
      </w:r>
      <w:r w:rsidR="003C0C08" w:rsidRPr="003C0C08">
        <w:rPr>
          <w:rFonts w:ascii="Georgia" w:hAnsi="Georgia"/>
          <w:color w:val="333333"/>
          <w:sz w:val="28"/>
          <w:szCs w:val="22"/>
        </w:rPr>
        <w:t xml:space="preserve"> </w:t>
      </w:r>
    </w:p>
    <w:p w:rsidR="009262E1" w:rsidRPr="00883D74" w:rsidRDefault="00077F11" w:rsidP="009262E1">
      <w:pPr>
        <w:widowControl w:val="0"/>
        <w:autoSpaceDE w:val="0"/>
        <w:autoSpaceDN w:val="0"/>
        <w:adjustRightInd w:val="0"/>
        <w:rPr>
          <w:rFonts w:ascii="Georgia" w:eastAsiaTheme="minorEastAsia" w:hAnsi="Georgia" w:cs="Cambria"/>
          <w:sz w:val="28"/>
        </w:rPr>
      </w:pPr>
      <w:r w:rsidRPr="00883D74">
        <w:rPr>
          <w:rFonts w:ascii="Georgia" w:eastAsiaTheme="minorEastAsia" w:hAnsi="Georgia" w:cs="Cambria"/>
          <w:sz w:val="28"/>
        </w:rPr>
        <w:t xml:space="preserve">Respectfully submitted, </w:t>
      </w:r>
    </w:p>
    <w:p w:rsidR="00077F11" w:rsidRPr="00883D74" w:rsidRDefault="00077F11" w:rsidP="009262E1">
      <w:pPr>
        <w:widowControl w:val="0"/>
        <w:autoSpaceDE w:val="0"/>
        <w:autoSpaceDN w:val="0"/>
        <w:adjustRightInd w:val="0"/>
        <w:rPr>
          <w:rFonts w:ascii="Cambria" w:eastAsiaTheme="minorEastAsia" w:hAnsi="Cambria" w:cs="Cambria"/>
          <w:sz w:val="28"/>
          <w:szCs w:val="28"/>
        </w:rPr>
      </w:pPr>
    </w:p>
    <w:p w:rsidR="00077F11" w:rsidRPr="00883D74" w:rsidRDefault="00077F11" w:rsidP="009262E1">
      <w:pPr>
        <w:widowControl w:val="0"/>
        <w:autoSpaceDE w:val="0"/>
        <w:autoSpaceDN w:val="0"/>
        <w:adjustRightInd w:val="0"/>
        <w:rPr>
          <w:rFonts w:ascii="Cambria" w:eastAsiaTheme="minorEastAsia" w:hAnsi="Cambria" w:cs="Cambria"/>
          <w:sz w:val="28"/>
          <w:szCs w:val="28"/>
        </w:rPr>
      </w:pPr>
    </w:p>
    <w:p w:rsidR="009262E1" w:rsidRPr="00883D74" w:rsidRDefault="009262E1" w:rsidP="009262E1">
      <w:pPr>
        <w:widowControl w:val="0"/>
        <w:autoSpaceDE w:val="0"/>
        <w:autoSpaceDN w:val="0"/>
        <w:adjustRightInd w:val="0"/>
        <w:rPr>
          <w:rFonts w:ascii="Georgia" w:eastAsiaTheme="minorEastAsia" w:hAnsi="Georgia" w:cs="Georgia"/>
          <w:sz w:val="28"/>
          <w:szCs w:val="28"/>
        </w:rPr>
      </w:pPr>
      <w:r w:rsidRPr="00883D74">
        <w:rPr>
          <w:rFonts w:ascii="Georgia" w:eastAsiaTheme="minorEastAsia" w:hAnsi="Georgia" w:cs="Georgia"/>
          <w:sz w:val="28"/>
          <w:szCs w:val="28"/>
        </w:rPr>
        <w:t>Eric Epstein, Chairman</w:t>
      </w:r>
    </w:p>
    <w:p w:rsidR="009262E1" w:rsidRPr="00883D74" w:rsidRDefault="009262E1" w:rsidP="009262E1">
      <w:pPr>
        <w:widowControl w:val="0"/>
        <w:autoSpaceDE w:val="0"/>
        <w:autoSpaceDN w:val="0"/>
        <w:adjustRightInd w:val="0"/>
        <w:rPr>
          <w:rFonts w:ascii="Georgia" w:eastAsiaTheme="minorEastAsia" w:hAnsi="Georgia" w:cs="Georgia"/>
          <w:sz w:val="28"/>
          <w:szCs w:val="28"/>
        </w:rPr>
      </w:pPr>
      <w:r w:rsidRPr="00883D74">
        <w:rPr>
          <w:rFonts w:ascii="Georgia" w:eastAsiaTheme="minorEastAsia" w:hAnsi="Georgia" w:cs="Georgia"/>
          <w:sz w:val="28"/>
          <w:szCs w:val="28"/>
        </w:rPr>
        <w:t>Three Miles Island Alert, Inc.</w:t>
      </w:r>
    </w:p>
    <w:p w:rsidR="009262E1" w:rsidRPr="00883D74" w:rsidRDefault="009262E1" w:rsidP="009262E1">
      <w:pPr>
        <w:widowControl w:val="0"/>
        <w:autoSpaceDE w:val="0"/>
        <w:autoSpaceDN w:val="0"/>
        <w:adjustRightInd w:val="0"/>
        <w:rPr>
          <w:rFonts w:ascii="Georgia" w:eastAsiaTheme="minorEastAsia" w:hAnsi="Georgia" w:cs="Georgia"/>
          <w:sz w:val="28"/>
          <w:szCs w:val="28"/>
        </w:rPr>
      </w:pPr>
      <w:r w:rsidRPr="00883D74">
        <w:rPr>
          <w:rFonts w:ascii="Georgia" w:eastAsiaTheme="minorEastAsia" w:hAnsi="Georgia" w:cs="Georgia"/>
          <w:sz w:val="28"/>
          <w:szCs w:val="28"/>
        </w:rPr>
        <w:t>4100 Hillsdale Road</w:t>
      </w:r>
    </w:p>
    <w:p w:rsidR="009262E1" w:rsidRPr="00883D74" w:rsidRDefault="009262E1" w:rsidP="009262E1">
      <w:pPr>
        <w:widowControl w:val="0"/>
        <w:autoSpaceDE w:val="0"/>
        <w:autoSpaceDN w:val="0"/>
        <w:adjustRightInd w:val="0"/>
        <w:rPr>
          <w:rFonts w:ascii="Georgia" w:eastAsiaTheme="minorEastAsia" w:hAnsi="Georgia" w:cs="Georgia"/>
          <w:sz w:val="28"/>
          <w:szCs w:val="28"/>
        </w:rPr>
      </w:pPr>
      <w:r w:rsidRPr="00883D74">
        <w:rPr>
          <w:rFonts w:ascii="Georgia" w:eastAsiaTheme="minorEastAsia" w:hAnsi="Georgia" w:cs="Georgia"/>
          <w:sz w:val="28"/>
          <w:szCs w:val="28"/>
        </w:rPr>
        <w:t>Harrisburg, PA 17112</w:t>
      </w:r>
    </w:p>
    <w:p w:rsidR="009262E1" w:rsidRPr="00883D74" w:rsidRDefault="009262E1" w:rsidP="009262E1">
      <w:pPr>
        <w:widowControl w:val="0"/>
        <w:autoSpaceDE w:val="0"/>
        <w:autoSpaceDN w:val="0"/>
        <w:adjustRightInd w:val="0"/>
        <w:rPr>
          <w:rFonts w:ascii="Cambria" w:eastAsiaTheme="minorEastAsia" w:hAnsi="Cambria" w:cs="Cambria"/>
          <w:sz w:val="28"/>
          <w:szCs w:val="20"/>
        </w:rPr>
      </w:pPr>
      <w:r w:rsidRPr="00883D74">
        <w:rPr>
          <w:rFonts w:ascii="Cambria" w:eastAsiaTheme="minorEastAsia" w:hAnsi="Cambria" w:cs="Cambria"/>
          <w:sz w:val="28"/>
          <w:szCs w:val="20"/>
        </w:rPr>
        <w:t> </w:t>
      </w:r>
    </w:p>
    <w:p w:rsidR="009262E1" w:rsidRPr="00883D74" w:rsidRDefault="00665C75" w:rsidP="009262E1">
      <w:pPr>
        <w:widowControl w:val="0"/>
        <w:autoSpaceDE w:val="0"/>
        <w:autoSpaceDN w:val="0"/>
        <w:adjustRightInd w:val="0"/>
        <w:rPr>
          <w:rFonts w:ascii="Cambria" w:eastAsiaTheme="minorEastAsia" w:hAnsi="Cambria" w:cs="Cambria"/>
          <w:sz w:val="28"/>
          <w:szCs w:val="20"/>
        </w:rPr>
      </w:pPr>
      <w:r w:rsidRPr="00883D74">
        <w:rPr>
          <w:rFonts w:ascii="Cambria" w:eastAsiaTheme="minorEastAsia" w:hAnsi="Cambria" w:cs="Cambria"/>
          <w:b/>
          <w:bCs/>
          <w:sz w:val="28"/>
          <w:szCs w:val="28"/>
        </w:rPr>
        <w:t xml:space="preserve"> </w:t>
      </w:r>
      <w:r w:rsidR="00853794" w:rsidRPr="00883D74">
        <w:rPr>
          <w:rFonts w:ascii="Cambria" w:eastAsiaTheme="minorEastAsia" w:hAnsi="Cambria" w:cs="Cambria"/>
          <w:b/>
          <w:bCs/>
          <w:sz w:val="28"/>
          <w:szCs w:val="28"/>
        </w:rPr>
        <w:t xml:space="preserve"> </w:t>
      </w:r>
    </w:p>
    <w:p w:rsidR="00A47C62" w:rsidRDefault="00A47C62" w:rsidP="003C0C08">
      <w:pPr>
        <w:widowControl w:val="0"/>
        <w:autoSpaceDE w:val="0"/>
        <w:autoSpaceDN w:val="0"/>
        <w:adjustRightInd w:val="0"/>
        <w:rPr>
          <w:rFonts w:ascii="Georgia" w:eastAsiaTheme="minorEastAsia" w:hAnsi="Georgia" w:cs="Georgia"/>
          <w:b/>
          <w:bCs/>
          <w:sz w:val="28"/>
          <w:szCs w:val="28"/>
        </w:rPr>
      </w:pPr>
      <w:r>
        <w:rPr>
          <w:rFonts w:ascii="Georgia" w:eastAsiaTheme="minorEastAsia" w:hAnsi="Georgia" w:cs="Georgia"/>
          <w:b/>
          <w:bCs/>
          <w:sz w:val="28"/>
          <w:szCs w:val="28"/>
        </w:rPr>
        <w:t xml:space="preserve"> </w:t>
      </w:r>
    </w:p>
    <w:p w:rsidR="00A47C62" w:rsidRDefault="00A47C62" w:rsidP="003C0C08">
      <w:pPr>
        <w:widowControl w:val="0"/>
        <w:autoSpaceDE w:val="0"/>
        <w:autoSpaceDN w:val="0"/>
        <w:adjustRightInd w:val="0"/>
        <w:rPr>
          <w:rFonts w:ascii="Georgia" w:eastAsiaTheme="minorEastAsia" w:hAnsi="Georgia" w:cs="Georgia"/>
          <w:b/>
          <w:bCs/>
          <w:sz w:val="28"/>
          <w:szCs w:val="28"/>
        </w:rPr>
      </w:pPr>
    </w:p>
    <w:p w:rsidR="00A47C62" w:rsidRDefault="00A47C62" w:rsidP="003C0C08">
      <w:pPr>
        <w:widowControl w:val="0"/>
        <w:autoSpaceDE w:val="0"/>
        <w:autoSpaceDN w:val="0"/>
        <w:adjustRightInd w:val="0"/>
        <w:rPr>
          <w:rFonts w:ascii="Georgia" w:eastAsiaTheme="minorEastAsia" w:hAnsi="Georgia" w:cs="Georgia"/>
          <w:b/>
          <w:bCs/>
          <w:sz w:val="28"/>
          <w:szCs w:val="28"/>
        </w:rPr>
      </w:pPr>
    </w:p>
    <w:p w:rsidR="00A47C62" w:rsidRDefault="00A47C62" w:rsidP="003C0C08">
      <w:pPr>
        <w:widowControl w:val="0"/>
        <w:autoSpaceDE w:val="0"/>
        <w:autoSpaceDN w:val="0"/>
        <w:adjustRightInd w:val="0"/>
        <w:rPr>
          <w:rFonts w:ascii="Georgia" w:eastAsiaTheme="minorEastAsia" w:hAnsi="Georgia" w:cs="Georgia"/>
          <w:b/>
          <w:bCs/>
          <w:sz w:val="28"/>
          <w:szCs w:val="28"/>
        </w:rPr>
      </w:pPr>
    </w:p>
    <w:p w:rsidR="00A47C62" w:rsidRDefault="00A47C62" w:rsidP="003C0C08">
      <w:pPr>
        <w:widowControl w:val="0"/>
        <w:autoSpaceDE w:val="0"/>
        <w:autoSpaceDN w:val="0"/>
        <w:adjustRightInd w:val="0"/>
        <w:rPr>
          <w:rFonts w:ascii="Georgia" w:eastAsiaTheme="minorEastAsia" w:hAnsi="Georgia" w:cs="Georgia"/>
          <w:b/>
          <w:bCs/>
          <w:sz w:val="28"/>
          <w:szCs w:val="28"/>
        </w:rPr>
      </w:pPr>
    </w:p>
    <w:p w:rsidR="00A47C62" w:rsidRDefault="00A47C62" w:rsidP="003C0C08">
      <w:pPr>
        <w:widowControl w:val="0"/>
        <w:autoSpaceDE w:val="0"/>
        <w:autoSpaceDN w:val="0"/>
        <w:adjustRightInd w:val="0"/>
        <w:rPr>
          <w:rFonts w:ascii="Georgia" w:eastAsiaTheme="minorEastAsia" w:hAnsi="Georgia" w:cs="Georgia"/>
          <w:b/>
          <w:bCs/>
          <w:sz w:val="28"/>
          <w:szCs w:val="28"/>
        </w:rPr>
      </w:pPr>
    </w:p>
    <w:p w:rsidR="00A47C62" w:rsidRDefault="00A47C62" w:rsidP="003C0C08">
      <w:pPr>
        <w:widowControl w:val="0"/>
        <w:autoSpaceDE w:val="0"/>
        <w:autoSpaceDN w:val="0"/>
        <w:adjustRightInd w:val="0"/>
        <w:rPr>
          <w:rFonts w:ascii="Georgia" w:eastAsiaTheme="minorEastAsia" w:hAnsi="Georgia" w:cs="Georgia"/>
          <w:b/>
          <w:bCs/>
          <w:sz w:val="28"/>
          <w:szCs w:val="28"/>
        </w:rPr>
      </w:pPr>
    </w:p>
    <w:p w:rsidR="00A47C62" w:rsidRDefault="00A47C62" w:rsidP="003C0C08">
      <w:pPr>
        <w:widowControl w:val="0"/>
        <w:autoSpaceDE w:val="0"/>
        <w:autoSpaceDN w:val="0"/>
        <w:adjustRightInd w:val="0"/>
        <w:rPr>
          <w:rFonts w:ascii="Georgia" w:eastAsiaTheme="minorEastAsia" w:hAnsi="Georgia" w:cs="Georgia"/>
          <w:b/>
          <w:bCs/>
          <w:sz w:val="28"/>
          <w:szCs w:val="28"/>
        </w:rPr>
      </w:pPr>
    </w:p>
    <w:p w:rsidR="00A47C62" w:rsidRDefault="009262E1" w:rsidP="003C0C08">
      <w:pPr>
        <w:widowControl w:val="0"/>
        <w:autoSpaceDE w:val="0"/>
        <w:autoSpaceDN w:val="0"/>
        <w:adjustRightInd w:val="0"/>
        <w:rPr>
          <w:rFonts w:ascii="Georgia" w:eastAsiaTheme="minorEastAsia" w:hAnsi="Georgia" w:cs="Cambria"/>
          <w:sz w:val="28"/>
          <w:szCs w:val="28"/>
        </w:rPr>
      </w:pPr>
      <w:r w:rsidRPr="00883D74">
        <w:rPr>
          <w:rFonts w:ascii="Cambria" w:eastAsiaTheme="minorEastAsia" w:hAnsi="Cambria" w:cs="Cambria"/>
          <w:b/>
          <w:bCs/>
          <w:sz w:val="28"/>
          <w:szCs w:val="28"/>
        </w:rPr>
        <w:tab/>
      </w:r>
      <w:r w:rsidRPr="00883D74">
        <w:rPr>
          <w:rFonts w:ascii="Cambria" w:eastAsiaTheme="minorEastAsia" w:hAnsi="Cambria" w:cs="Cambria"/>
          <w:b/>
          <w:bCs/>
          <w:sz w:val="28"/>
          <w:szCs w:val="28"/>
        </w:rPr>
        <w:tab/>
      </w:r>
      <w:r w:rsidRPr="00883D74">
        <w:rPr>
          <w:rFonts w:ascii="Cambria" w:eastAsiaTheme="minorEastAsia" w:hAnsi="Cambria" w:cs="Cambria"/>
          <w:b/>
          <w:bCs/>
          <w:sz w:val="28"/>
          <w:szCs w:val="28"/>
        </w:rPr>
        <w:tab/>
        <w:t> </w:t>
      </w:r>
      <w:r w:rsidR="003C0C08">
        <w:rPr>
          <w:rFonts w:ascii="Cambria" w:eastAsiaTheme="minorEastAsia" w:hAnsi="Cambria" w:cs="Cambria"/>
          <w:sz w:val="28"/>
          <w:szCs w:val="28"/>
        </w:rPr>
        <w:tab/>
      </w:r>
      <w:r w:rsidR="00853794" w:rsidRPr="00883D74">
        <w:rPr>
          <w:rFonts w:ascii="Cambria" w:eastAsiaTheme="minorEastAsia" w:hAnsi="Cambria" w:cs="Cambria"/>
          <w:sz w:val="28"/>
          <w:szCs w:val="28"/>
        </w:rPr>
        <w:tab/>
      </w:r>
      <w:r w:rsidR="00853794" w:rsidRPr="00883D74">
        <w:rPr>
          <w:rFonts w:ascii="Cambria" w:eastAsiaTheme="minorEastAsia" w:hAnsi="Cambria" w:cs="Cambria"/>
          <w:sz w:val="28"/>
          <w:szCs w:val="28"/>
        </w:rPr>
        <w:tab/>
      </w:r>
      <w:r w:rsidR="00853794" w:rsidRPr="00883D74">
        <w:rPr>
          <w:rFonts w:ascii="Cambria" w:eastAsiaTheme="minorEastAsia" w:hAnsi="Cambria" w:cs="Cambria"/>
          <w:sz w:val="28"/>
          <w:szCs w:val="28"/>
        </w:rPr>
        <w:tab/>
      </w:r>
      <w:r w:rsidR="00853794" w:rsidRPr="00883D74">
        <w:rPr>
          <w:rFonts w:ascii="Cambria" w:eastAsiaTheme="minorEastAsia" w:hAnsi="Cambria" w:cs="Cambria"/>
          <w:sz w:val="28"/>
          <w:szCs w:val="28"/>
        </w:rPr>
        <w:tab/>
      </w:r>
      <w:r w:rsidR="00853794" w:rsidRPr="00883D74">
        <w:rPr>
          <w:rFonts w:ascii="Cambria" w:eastAsiaTheme="minorEastAsia" w:hAnsi="Cambria" w:cs="Cambria"/>
          <w:sz w:val="28"/>
          <w:szCs w:val="28"/>
        </w:rPr>
        <w:tab/>
      </w:r>
      <w:r w:rsidR="00853794" w:rsidRPr="00883D74">
        <w:rPr>
          <w:rFonts w:ascii="Georgia" w:eastAsiaTheme="minorEastAsia" w:hAnsi="Georgia" w:cs="Cambria"/>
          <w:sz w:val="28"/>
          <w:szCs w:val="28"/>
        </w:rPr>
        <w:t xml:space="preserve"> </w:t>
      </w:r>
      <w:r w:rsidR="00291EC3" w:rsidRPr="00883D74">
        <w:rPr>
          <w:rFonts w:ascii="Georgia" w:eastAsiaTheme="minorEastAsia" w:hAnsi="Georgia" w:cs="Cambria"/>
          <w:sz w:val="28"/>
          <w:szCs w:val="28"/>
        </w:rPr>
        <w:t xml:space="preserve">  </w:t>
      </w:r>
      <w:r w:rsidR="00853794" w:rsidRPr="00883D74">
        <w:rPr>
          <w:rFonts w:ascii="Georgia" w:eastAsiaTheme="minorEastAsia" w:hAnsi="Georgia" w:cs="Cambria"/>
          <w:sz w:val="28"/>
          <w:szCs w:val="28"/>
        </w:rPr>
        <w:t xml:space="preserve"> </w:t>
      </w:r>
    </w:p>
    <w:p w:rsidR="00A47C62" w:rsidRDefault="00A47C62" w:rsidP="003C0C08">
      <w:pPr>
        <w:widowControl w:val="0"/>
        <w:autoSpaceDE w:val="0"/>
        <w:autoSpaceDN w:val="0"/>
        <w:adjustRightInd w:val="0"/>
        <w:rPr>
          <w:rFonts w:ascii="Georgia" w:eastAsiaTheme="minorEastAsia" w:hAnsi="Georgia" w:cs="Cambria"/>
          <w:sz w:val="28"/>
          <w:szCs w:val="28"/>
        </w:rPr>
      </w:pPr>
    </w:p>
    <w:p w:rsidR="00A47C62" w:rsidRDefault="00A47C62" w:rsidP="003C0C08">
      <w:pPr>
        <w:widowControl w:val="0"/>
        <w:autoSpaceDE w:val="0"/>
        <w:autoSpaceDN w:val="0"/>
        <w:adjustRightInd w:val="0"/>
        <w:rPr>
          <w:rFonts w:ascii="Georgia" w:eastAsiaTheme="minorEastAsia" w:hAnsi="Georgia" w:cs="Cambria"/>
          <w:sz w:val="28"/>
          <w:szCs w:val="28"/>
        </w:rPr>
      </w:pPr>
    </w:p>
    <w:p w:rsidR="003C0C08" w:rsidRPr="003C0C08" w:rsidRDefault="00853794" w:rsidP="003C0C08">
      <w:pPr>
        <w:widowControl w:val="0"/>
        <w:autoSpaceDE w:val="0"/>
        <w:autoSpaceDN w:val="0"/>
        <w:adjustRightInd w:val="0"/>
        <w:rPr>
          <w:rFonts w:ascii="Cambria" w:eastAsiaTheme="minorEastAsia" w:hAnsi="Cambria" w:cs="Cambria"/>
          <w:sz w:val="28"/>
          <w:szCs w:val="28"/>
        </w:rPr>
      </w:pPr>
      <w:r w:rsidRPr="00883D74">
        <w:rPr>
          <w:rFonts w:ascii="Georgia" w:eastAsiaTheme="minorEastAsia" w:hAnsi="Georgia" w:cs="Cambria"/>
          <w:sz w:val="28"/>
          <w:szCs w:val="28"/>
        </w:rPr>
        <w:t xml:space="preserve"> </w:t>
      </w:r>
      <w:r w:rsidR="00291EC3" w:rsidRPr="00883D74">
        <w:rPr>
          <w:rFonts w:ascii="Georgia" w:eastAsiaTheme="minorEastAsia" w:hAnsi="Georgia" w:cs="Cambria"/>
          <w:sz w:val="28"/>
          <w:szCs w:val="28"/>
        </w:rPr>
        <w:t xml:space="preserve"> </w:t>
      </w:r>
      <w:r w:rsidR="000963F3" w:rsidRPr="00883D74">
        <w:rPr>
          <w:rFonts w:ascii="Georgia" w:eastAsiaTheme="minorEastAsia" w:hAnsi="Georgia" w:cs="Cambria"/>
          <w:sz w:val="28"/>
          <w:szCs w:val="28"/>
        </w:rPr>
        <w:t xml:space="preserve">  </w:t>
      </w:r>
    </w:p>
    <w:p w:rsidR="003C0C08" w:rsidRDefault="003C0C08" w:rsidP="00665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Cambria"/>
          <w:sz w:val="28"/>
          <w:szCs w:val="28"/>
        </w:rPr>
      </w:pPr>
    </w:p>
    <w:p w:rsidR="003C0C08" w:rsidRDefault="003C0C08" w:rsidP="00665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Cambria"/>
          <w:sz w:val="28"/>
          <w:szCs w:val="28"/>
        </w:rPr>
      </w:pPr>
    </w:p>
    <w:p w:rsidR="003C0C08" w:rsidRDefault="003C0C08" w:rsidP="00665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Cambria"/>
          <w:sz w:val="28"/>
          <w:szCs w:val="28"/>
        </w:rPr>
      </w:pPr>
    </w:p>
    <w:p w:rsidR="001C295B" w:rsidRDefault="003C0C08" w:rsidP="001C2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Cambria"/>
          <w:sz w:val="28"/>
          <w:szCs w:val="28"/>
        </w:rPr>
      </w:pPr>
      <w:r>
        <w:rPr>
          <w:rFonts w:ascii="Georgia" w:eastAsiaTheme="minorEastAsia" w:hAnsi="Georgia" w:cs="Cambria"/>
          <w:sz w:val="28"/>
          <w:szCs w:val="28"/>
        </w:rPr>
        <w:t xml:space="preserve"> </w:t>
      </w:r>
      <w:r w:rsidR="00290F77" w:rsidRPr="00883D74">
        <w:rPr>
          <w:rFonts w:ascii="Georgia" w:eastAsiaTheme="minorEastAsia" w:hAnsi="Georgia" w:cs="Cambria"/>
          <w:sz w:val="28"/>
          <w:szCs w:val="28"/>
        </w:rPr>
        <w:t xml:space="preserve"> </w:t>
      </w:r>
      <w:r w:rsidR="00A47C62">
        <w:rPr>
          <w:rFonts w:ascii="Georgia" w:eastAsiaTheme="minorEastAsia" w:hAnsi="Georgia" w:cs="Cambria"/>
          <w:sz w:val="28"/>
          <w:szCs w:val="28"/>
        </w:rPr>
        <w:tab/>
      </w:r>
      <w:r w:rsidR="00A47C62">
        <w:rPr>
          <w:rFonts w:ascii="Georgia" w:eastAsiaTheme="minorEastAsia" w:hAnsi="Georgia" w:cs="Cambria"/>
          <w:sz w:val="28"/>
          <w:szCs w:val="28"/>
        </w:rPr>
        <w:tab/>
      </w:r>
      <w:r w:rsidR="00A47C62">
        <w:rPr>
          <w:rFonts w:ascii="Georgia" w:eastAsiaTheme="minorEastAsia" w:hAnsi="Georgia" w:cs="Cambria"/>
          <w:sz w:val="28"/>
          <w:szCs w:val="28"/>
        </w:rPr>
        <w:tab/>
      </w:r>
      <w:r w:rsidR="00A47C62">
        <w:rPr>
          <w:rFonts w:ascii="Georgia" w:eastAsiaTheme="minorEastAsia" w:hAnsi="Georgia" w:cs="Cambria"/>
          <w:sz w:val="28"/>
          <w:szCs w:val="28"/>
        </w:rPr>
        <w:tab/>
      </w:r>
      <w:r w:rsidR="00A47C62">
        <w:rPr>
          <w:rFonts w:ascii="Georgia" w:eastAsiaTheme="minorEastAsia" w:hAnsi="Georgia" w:cs="Cambria"/>
          <w:sz w:val="28"/>
          <w:szCs w:val="28"/>
        </w:rPr>
        <w:tab/>
      </w:r>
      <w:r w:rsidR="00A47C62">
        <w:rPr>
          <w:rFonts w:ascii="Georgia" w:eastAsiaTheme="minorEastAsia" w:hAnsi="Georgia" w:cs="Cambria"/>
          <w:sz w:val="28"/>
          <w:szCs w:val="28"/>
        </w:rPr>
        <w:tab/>
        <w:t xml:space="preserve">                     </w:t>
      </w:r>
    </w:p>
    <w:p w:rsidR="00707F6C" w:rsidRPr="001C295B" w:rsidRDefault="001C295B" w:rsidP="001C2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Cambria"/>
          <w:sz w:val="28"/>
          <w:szCs w:val="28"/>
        </w:rPr>
      </w:pPr>
      <w:r>
        <w:rPr>
          <w:rFonts w:ascii="Georgia" w:eastAsiaTheme="minorEastAsia" w:hAnsi="Georgia" w:cs="Cambria"/>
          <w:sz w:val="28"/>
          <w:szCs w:val="28"/>
        </w:rPr>
        <w:tab/>
      </w:r>
      <w:r>
        <w:rPr>
          <w:rFonts w:ascii="Georgia" w:eastAsiaTheme="minorEastAsia" w:hAnsi="Georgia" w:cs="Cambria"/>
          <w:sz w:val="28"/>
          <w:szCs w:val="28"/>
        </w:rPr>
        <w:tab/>
      </w:r>
      <w:r>
        <w:rPr>
          <w:rFonts w:ascii="Georgia" w:eastAsiaTheme="minorEastAsia" w:hAnsi="Georgia" w:cs="Cambria"/>
          <w:sz w:val="28"/>
          <w:szCs w:val="28"/>
        </w:rPr>
        <w:tab/>
      </w:r>
      <w:r>
        <w:rPr>
          <w:rFonts w:ascii="Georgia" w:eastAsiaTheme="minorEastAsia" w:hAnsi="Georgia" w:cs="Cambria"/>
          <w:sz w:val="28"/>
          <w:szCs w:val="28"/>
        </w:rPr>
        <w:tab/>
      </w:r>
      <w:r>
        <w:rPr>
          <w:rFonts w:ascii="Georgia" w:eastAsiaTheme="minorEastAsia" w:hAnsi="Georgia" w:cs="Cambria"/>
          <w:sz w:val="28"/>
          <w:szCs w:val="28"/>
        </w:rPr>
        <w:tab/>
      </w:r>
      <w:r>
        <w:rPr>
          <w:rFonts w:ascii="Georgia" w:eastAsiaTheme="minorEastAsia" w:hAnsi="Georgia" w:cs="Cambria"/>
          <w:sz w:val="28"/>
          <w:szCs w:val="28"/>
        </w:rPr>
        <w:tab/>
      </w:r>
      <w:r>
        <w:rPr>
          <w:rFonts w:ascii="Georgia" w:eastAsiaTheme="minorEastAsia" w:hAnsi="Georgia" w:cs="Cambria"/>
          <w:sz w:val="28"/>
          <w:szCs w:val="28"/>
        </w:rPr>
        <w:tab/>
      </w:r>
      <w:r>
        <w:rPr>
          <w:rFonts w:ascii="Georgia" w:eastAsiaTheme="minorEastAsia" w:hAnsi="Georgia" w:cs="Cambria"/>
          <w:sz w:val="28"/>
          <w:szCs w:val="28"/>
        </w:rPr>
        <w:tab/>
        <w:t xml:space="preserve">     5</w:t>
      </w:r>
    </w:p>
    <w:sectPr w:rsidR="00707F6C" w:rsidRPr="001C295B" w:rsidSect="009E51EB">
      <w:headerReference w:type="default" r:id="rI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CC" w:rsidRDefault="008231CC">
    <w:pPr>
      <w:pStyle w:val="Header"/>
    </w:pPr>
    <w: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C1210C"/>
    <w:multiLevelType w:val="hybridMultilevel"/>
    <w:tmpl w:val="CA28E30A"/>
    <w:lvl w:ilvl="0" w:tplc="9F4E16DC">
      <w:start w:val="1"/>
      <w:numFmt w:val="lowerLetter"/>
      <w:lvlText w:val="(%1)"/>
      <w:lvlJc w:val="left"/>
      <w:pPr>
        <w:ind w:left="72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1AC1A0D"/>
    <w:multiLevelType w:val="hybridMultilevel"/>
    <w:tmpl w:val="305207F8"/>
    <w:lvl w:ilvl="0" w:tplc="3266DF2C">
      <w:start w:val="1"/>
      <w:numFmt w:val="lowerLetter"/>
      <w:lvlText w:val="(%1)"/>
      <w:lvlJc w:val="left"/>
      <w:pPr>
        <w:ind w:left="1440" w:hanging="360"/>
      </w:pPr>
      <w:rPr>
        <w:rFonts w:hint="default"/>
        <w:color w:val="35353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8B2A86"/>
    <w:multiLevelType w:val="hybridMultilevel"/>
    <w:tmpl w:val="F580EE7E"/>
    <w:lvl w:ilvl="0" w:tplc="900C8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16D22"/>
    <w:multiLevelType w:val="hybridMultilevel"/>
    <w:tmpl w:val="93189290"/>
    <w:lvl w:ilvl="0" w:tplc="710EC614">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286814"/>
    <w:multiLevelType w:val="hybridMultilevel"/>
    <w:tmpl w:val="47CA83A6"/>
    <w:lvl w:ilvl="0" w:tplc="DCC03114">
      <w:start w:val="1"/>
      <w:numFmt w:val="lowerLetter"/>
      <w:lvlText w:val="(%1)"/>
      <w:lvlJc w:val="left"/>
      <w:pPr>
        <w:ind w:left="1080" w:hanging="360"/>
      </w:pPr>
      <w:rPr>
        <w:rFonts w:hint="default"/>
        <w:color w:val="353535"/>
        <w:sz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DC1561"/>
    <w:multiLevelType w:val="hybridMultilevel"/>
    <w:tmpl w:val="EB826C22"/>
    <w:lvl w:ilvl="0" w:tplc="C608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238D1"/>
    <w:multiLevelType w:val="hybridMultilevel"/>
    <w:tmpl w:val="7B284590"/>
    <w:lvl w:ilvl="0" w:tplc="5DA298C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NotTrackMoves/>
  <w:defaultTabStop w:val="720"/>
  <w:characterSpacingControl w:val="doNotCompress"/>
  <w:compat/>
  <w:rsids>
    <w:rsidRoot w:val="008A1478"/>
    <w:rsid w:val="000034D4"/>
    <w:rsid w:val="00006528"/>
    <w:rsid w:val="000215F4"/>
    <w:rsid w:val="00025409"/>
    <w:rsid w:val="00025A91"/>
    <w:rsid w:val="000277E0"/>
    <w:rsid w:val="00027C47"/>
    <w:rsid w:val="000367D3"/>
    <w:rsid w:val="00036E35"/>
    <w:rsid w:val="00042808"/>
    <w:rsid w:val="00052EE9"/>
    <w:rsid w:val="00055045"/>
    <w:rsid w:val="00063FF4"/>
    <w:rsid w:val="00064BFA"/>
    <w:rsid w:val="00066351"/>
    <w:rsid w:val="000666F0"/>
    <w:rsid w:val="00077F11"/>
    <w:rsid w:val="00080CE8"/>
    <w:rsid w:val="000963F3"/>
    <w:rsid w:val="00097C45"/>
    <w:rsid w:val="000A0940"/>
    <w:rsid w:val="000C6A30"/>
    <w:rsid w:val="000E1AD7"/>
    <w:rsid w:val="000E239F"/>
    <w:rsid w:val="000E556B"/>
    <w:rsid w:val="000F6BBC"/>
    <w:rsid w:val="000F75A4"/>
    <w:rsid w:val="00101F4F"/>
    <w:rsid w:val="00116AC5"/>
    <w:rsid w:val="001316F1"/>
    <w:rsid w:val="001503D2"/>
    <w:rsid w:val="0015190A"/>
    <w:rsid w:val="001523D8"/>
    <w:rsid w:val="00165F45"/>
    <w:rsid w:val="0016721A"/>
    <w:rsid w:val="001931BF"/>
    <w:rsid w:val="001A0E41"/>
    <w:rsid w:val="001A37DD"/>
    <w:rsid w:val="001B00C6"/>
    <w:rsid w:val="001C295B"/>
    <w:rsid w:val="001C2A5A"/>
    <w:rsid w:val="001C4670"/>
    <w:rsid w:val="001D3374"/>
    <w:rsid w:val="001E7685"/>
    <w:rsid w:val="00200D11"/>
    <w:rsid w:val="002049E3"/>
    <w:rsid w:val="00213FC8"/>
    <w:rsid w:val="0021746C"/>
    <w:rsid w:val="0021769D"/>
    <w:rsid w:val="0023028B"/>
    <w:rsid w:val="00237AD4"/>
    <w:rsid w:val="002446CB"/>
    <w:rsid w:val="0026171C"/>
    <w:rsid w:val="002633E1"/>
    <w:rsid w:val="002641EF"/>
    <w:rsid w:val="00274CEF"/>
    <w:rsid w:val="0027569A"/>
    <w:rsid w:val="00282621"/>
    <w:rsid w:val="00290F77"/>
    <w:rsid w:val="00291EC3"/>
    <w:rsid w:val="002A3721"/>
    <w:rsid w:val="002A548B"/>
    <w:rsid w:val="002A7BBE"/>
    <w:rsid w:val="002C45A4"/>
    <w:rsid w:val="002C57D4"/>
    <w:rsid w:val="002C6765"/>
    <w:rsid w:val="002E5E08"/>
    <w:rsid w:val="002E5E7F"/>
    <w:rsid w:val="002F20C0"/>
    <w:rsid w:val="00302ACF"/>
    <w:rsid w:val="0030332A"/>
    <w:rsid w:val="00314EC3"/>
    <w:rsid w:val="00315738"/>
    <w:rsid w:val="00315E63"/>
    <w:rsid w:val="00323DE1"/>
    <w:rsid w:val="00327D35"/>
    <w:rsid w:val="00346EA6"/>
    <w:rsid w:val="003543E2"/>
    <w:rsid w:val="0035591D"/>
    <w:rsid w:val="00357CB2"/>
    <w:rsid w:val="00361912"/>
    <w:rsid w:val="00366AD2"/>
    <w:rsid w:val="003821D9"/>
    <w:rsid w:val="00382386"/>
    <w:rsid w:val="00385BBB"/>
    <w:rsid w:val="003915DB"/>
    <w:rsid w:val="003961F2"/>
    <w:rsid w:val="003A44D4"/>
    <w:rsid w:val="003B188E"/>
    <w:rsid w:val="003B5AFF"/>
    <w:rsid w:val="003C0C08"/>
    <w:rsid w:val="003C1084"/>
    <w:rsid w:val="003D16A2"/>
    <w:rsid w:val="003D2427"/>
    <w:rsid w:val="003D3439"/>
    <w:rsid w:val="003D35C4"/>
    <w:rsid w:val="003D4F95"/>
    <w:rsid w:val="003E1D53"/>
    <w:rsid w:val="003F41CA"/>
    <w:rsid w:val="0041211F"/>
    <w:rsid w:val="0042299C"/>
    <w:rsid w:val="00424E1A"/>
    <w:rsid w:val="0043241F"/>
    <w:rsid w:val="0045273C"/>
    <w:rsid w:val="00464659"/>
    <w:rsid w:val="004649E8"/>
    <w:rsid w:val="00467ADC"/>
    <w:rsid w:val="00480C2E"/>
    <w:rsid w:val="00480D72"/>
    <w:rsid w:val="0048463A"/>
    <w:rsid w:val="004947E2"/>
    <w:rsid w:val="0049631C"/>
    <w:rsid w:val="00496999"/>
    <w:rsid w:val="004A0113"/>
    <w:rsid w:val="004A1E71"/>
    <w:rsid w:val="004A355D"/>
    <w:rsid w:val="004A67C5"/>
    <w:rsid w:val="004A69FB"/>
    <w:rsid w:val="004C4A45"/>
    <w:rsid w:val="004C50EE"/>
    <w:rsid w:val="004E13EA"/>
    <w:rsid w:val="004E7A04"/>
    <w:rsid w:val="004F0975"/>
    <w:rsid w:val="004F3F9F"/>
    <w:rsid w:val="004F71EF"/>
    <w:rsid w:val="0050345B"/>
    <w:rsid w:val="00507C6F"/>
    <w:rsid w:val="00507D95"/>
    <w:rsid w:val="00512D1D"/>
    <w:rsid w:val="005201A3"/>
    <w:rsid w:val="005214DA"/>
    <w:rsid w:val="00540BAC"/>
    <w:rsid w:val="00565BE6"/>
    <w:rsid w:val="00566AFD"/>
    <w:rsid w:val="00571964"/>
    <w:rsid w:val="00574A39"/>
    <w:rsid w:val="00586A1B"/>
    <w:rsid w:val="00596755"/>
    <w:rsid w:val="00597E3B"/>
    <w:rsid w:val="005A0288"/>
    <w:rsid w:val="005A0B56"/>
    <w:rsid w:val="005A26A2"/>
    <w:rsid w:val="005B4065"/>
    <w:rsid w:val="005D5FE7"/>
    <w:rsid w:val="005E6158"/>
    <w:rsid w:val="005F1608"/>
    <w:rsid w:val="005F481A"/>
    <w:rsid w:val="00627585"/>
    <w:rsid w:val="00631088"/>
    <w:rsid w:val="00633FC2"/>
    <w:rsid w:val="0063462E"/>
    <w:rsid w:val="00650005"/>
    <w:rsid w:val="00662FA9"/>
    <w:rsid w:val="00663BA1"/>
    <w:rsid w:val="00665C75"/>
    <w:rsid w:val="00674657"/>
    <w:rsid w:val="00674CAF"/>
    <w:rsid w:val="006770E9"/>
    <w:rsid w:val="0068532D"/>
    <w:rsid w:val="00695750"/>
    <w:rsid w:val="00697089"/>
    <w:rsid w:val="006A28A6"/>
    <w:rsid w:val="006B448D"/>
    <w:rsid w:val="006B71A2"/>
    <w:rsid w:val="006D27A5"/>
    <w:rsid w:val="006E182F"/>
    <w:rsid w:val="006E4CBE"/>
    <w:rsid w:val="006F381C"/>
    <w:rsid w:val="006F7B6D"/>
    <w:rsid w:val="00705BCE"/>
    <w:rsid w:val="00707D83"/>
    <w:rsid w:val="00707F6C"/>
    <w:rsid w:val="00727B98"/>
    <w:rsid w:val="00736EDB"/>
    <w:rsid w:val="00741513"/>
    <w:rsid w:val="00741B52"/>
    <w:rsid w:val="00744A0F"/>
    <w:rsid w:val="00764AD2"/>
    <w:rsid w:val="0078148D"/>
    <w:rsid w:val="00785269"/>
    <w:rsid w:val="00787213"/>
    <w:rsid w:val="00790EA4"/>
    <w:rsid w:val="00793EBC"/>
    <w:rsid w:val="007B1ADA"/>
    <w:rsid w:val="007B36E2"/>
    <w:rsid w:val="007B54E0"/>
    <w:rsid w:val="007D2440"/>
    <w:rsid w:val="007D3CA0"/>
    <w:rsid w:val="007D5BDA"/>
    <w:rsid w:val="007E66A3"/>
    <w:rsid w:val="007E7F30"/>
    <w:rsid w:val="007F0425"/>
    <w:rsid w:val="007F15E1"/>
    <w:rsid w:val="00813343"/>
    <w:rsid w:val="00822DB7"/>
    <w:rsid w:val="008231CC"/>
    <w:rsid w:val="00832A0C"/>
    <w:rsid w:val="00835A9A"/>
    <w:rsid w:val="00841417"/>
    <w:rsid w:val="00847B3D"/>
    <w:rsid w:val="00853794"/>
    <w:rsid w:val="00862BC9"/>
    <w:rsid w:val="00862D1D"/>
    <w:rsid w:val="00872F95"/>
    <w:rsid w:val="0088004D"/>
    <w:rsid w:val="00881C87"/>
    <w:rsid w:val="00883D74"/>
    <w:rsid w:val="00890178"/>
    <w:rsid w:val="00892C79"/>
    <w:rsid w:val="008A1478"/>
    <w:rsid w:val="008A4344"/>
    <w:rsid w:val="008A65AC"/>
    <w:rsid w:val="008C37A7"/>
    <w:rsid w:val="008C760F"/>
    <w:rsid w:val="008C7EDE"/>
    <w:rsid w:val="008E1F91"/>
    <w:rsid w:val="008E6CC6"/>
    <w:rsid w:val="008F1E6A"/>
    <w:rsid w:val="00906FFA"/>
    <w:rsid w:val="00912589"/>
    <w:rsid w:val="00917575"/>
    <w:rsid w:val="00917925"/>
    <w:rsid w:val="0092593B"/>
    <w:rsid w:val="009262E1"/>
    <w:rsid w:val="00941821"/>
    <w:rsid w:val="00941D2C"/>
    <w:rsid w:val="009452FE"/>
    <w:rsid w:val="009457CA"/>
    <w:rsid w:val="00946FD0"/>
    <w:rsid w:val="00951C35"/>
    <w:rsid w:val="009574B1"/>
    <w:rsid w:val="0097706E"/>
    <w:rsid w:val="00986D2E"/>
    <w:rsid w:val="009948C0"/>
    <w:rsid w:val="009A44F5"/>
    <w:rsid w:val="009B0A5B"/>
    <w:rsid w:val="009B26EC"/>
    <w:rsid w:val="009B7C64"/>
    <w:rsid w:val="009C73D2"/>
    <w:rsid w:val="009D52E0"/>
    <w:rsid w:val="009D74BE"/>
    <w:rsid w:val="009E51EB"/>
    <w:rsid w:val="009F5398"/>
    <w:rsid w:val="00A01291"/>
    <w:rsid w:val="00A20079"/>
    <w:rsid w:val="00A22C51"/>
    <w:rsid w:val="00A230D6"/>
    <w:rsid w:val="00A3290E"/>
    <w:rsid w:val="00A47C62"/>
    <w:rsid w:val="00A7234D"/>
    <w:rsid w:val="00A72474"/>
    <w:rsid w:val="00A8487A"/>
    <w:rsid w:val="00A848B5"/>
    <w:rsid w:val="00A879DD"/>
    <w:rsid w:val="00AA245A"/>
    <w:rsid w:val="00AB3846"/>
    <w:rsid w:val="00AB3E18"/>
    <w:rsid w:val="00AC24D7"/>
    <w:rsid w:val="00AC27DF"/>
    <w:rsid w:val="00AC7CE8"/>
    <w:rsid w:val="00AD5004"/>
    <w:rsid w:val="00AE28ED"/>
    <w:rsid w:val="00AF37BF"/>
    <w:rsid w:val="00AF6075"/>
    <w:rsid w:val="00B00160"/>
    <w:rsid w:val="00B07F2F"/>
    <w:rsid w:val="00B125BF"/>
    <w:rsid w:val="00B158D0"/>
    <w:rsid w:val="00B23E69"/>
    <w:rsid w:val="00B31BAF"/>
    <w:rsid w:val="00B42CBA"/>
    <w:rsid w:val="00B47A6C"/>
    <w:rsid w:val="00B550B3"/>
    <w:rsid w:val="00B55166"/>
    <w:rsid w:val="00B563BA"/>
    <w:rsid w:val="00B70EBC"/>
    <w:rsid w:val="00B84696"/>
    <w:rsid w:val="00BA0571"/>
    <w:rsid w:val="00BA0E82"/>
    <w:rsid w:val="00BA2E71"/>
    <w:rsid w:val="00BA4644"/>
    <w:rsid w:val="00BB3110"/>
    <w:rsid w:val="00BC54A0"/>
    <w:rsid w:val="00BC57CC"/>
    <w:rsid w:val="00BC71AD"/>
    <w:rsid w:val="00BD1860"/>
    <w:rsid w:val="00BD737D"/>
    <w:rsid w:val="00BF52E1"/>
    <w:rsid w:val="00C11C0C"/>
    <w:rsid w:val="00C149D2"/>
    <w:rsid w:val="00C166A1"/>
    <w:rsid w:val="00C17087"/>
    <w:rsid w:val="00C272C4"/>
    <w:rsid w:val="00C2797A"/>
    <w:rsid w:val="00C27A1B"/>
    <w:rsid w:val="00C27BFB"/>
    <w:rsid w:val="00C32094"/>
    <w:rsid w:val="00C3441F"/>
    <w:rsid w:val="00C53C5B"/>
    <w:rsid w:val="00C630E2"/>
    <w:rsid w:val="00C7757C"/>
    <w:rsid w:val="00C84D0E"/>
    <w:rsid w:val="00C92C96"/>
    <w:rsid w:val="00CB66DA"/>
    <w:rsid w:val="00CC2C6E"/>
    <w:rsid w:val="00CC4837"/>
    <w:rsid w:val="00CC48D7"/>
    <w:rsid w:val="00CE63C4"/>
    <w:rsid w:val="00CF39B9"/>
    <w:rsid w:val="00CF59A6"/>
    <w:rsid w:val="00D00F5D"/>
    <w:rsid w:val="00D053BA"/>
    <w:rsid w:val="00D07C19"/>
    <w:rsid w:val="00D1364F"/>
    <w:rsid w:val="00D263FA"/>
    <w:rsid w:val="00D42C2B"/>
    <w:rsid w:val="00D509D3"/>
    <w:rsid w:val="00D62D21"/>
    <w:rsid w:val="00D67BF6"/>
    <w:rsid w:val="00D67FDC"/>
    <w:rsid w:val="00D7059D"/>
    <w:rsid w:val="00D7094A"/>
    <w:rsid w:val="00D9333A"/>
    <w:rsid w:val="00DA584C"/>
    <w:rsid w:val="00DB1719"/>
    <w:rsid w:val="00DD08BE"/>
    <w:rsid w:val="00DF140A"/>
    <w:rsid w:val="00DF6935"/>
    <w:rsid w:val="00E031A1"/>
    <w:rsid w:val="00E03955"/>
    <w:rsid w:val="00E05102"/>
    <w:rsid w:val="00E075F5"/>
    <w:rsid w:val="00E1511E"/>
    <w:rsid w:val="00E20635"/>
    <w:rsid w:val="00E25DC1"/>
    <w:rsid w:val="00E32CA9"/>
    <w:rsid w:val="00E43975"/>
    <w:rsid w:val="00E439B2"/>
    <w:rsid w:val="00E51492"/>
    <w:rsid w:val="00E57D72"/>
    <w:rsid w:val="00E7062E"/>
    <w:rsid w:val="00E779CB"/>
    <w:rsid w:val="00E82C45"/>
    <w:rsid w:val="00E861D5"/>
    <w:rsid w:val="00E8660A"/>
    <w:rsid w:val="00E87710"/>
    <w:rsid w:val="00E9013A"/>
    <w:rsid w:val="00E92A71"/>
    <w:rsid w:val="00EA529F"/>
    <w:rsid w:val="00EA544B"/>
    <w:rsid w:val="00EA6A7C"/>
    <w:rsid w:val="00EB4B47"/>
    <w:rsid w:val="00EC0C7E"/>
    <w:rsid w:val="00EC1C54"/>
    <w:rsid w:val="00EC208A"/>
    <w:rsid w:val="00EC61D3"/>
    <w:rsid w:val="00ED67A6"/>
    <w:rsid w:val="00EE646A"/>
    <w:rsid w:val="00F05376"/>
    <w:rsid w:val="00F1099A"/>
    <w:rsid w:val="00F25B67"/>
    <w:rsid w:val="00F265E4"/>
    <w:rsid w:val="00F31093"/>
    <w:rsid w:val="00F352C6"/>
    <w:rsid w:val="00F35713"/>
    <w:rsid w:val="00F36DC3"/>
    <w:rsid w:val="00F40340"/>
    <w:rsid w:val="00F40F4F"/>
    <w:rsid w:val="00F46D6F"/>
    <w:rsid w:val="00F51A30"/>
    <w:rsid w:val="00F524B3"/>
    <w:rsid w:val="00F616A6"/>
    <w:rsid w:val="00F669FA"/>
    <w:rsid w:val="00F77BE1"/>
    <w:rsid w:val="00F81031"/>
    <w:rsid w:val="00F84A04"/>
    <w:rsid w:val="00FA3348"/>
    <w:rsid w:val="00FB6B99"/>
    <w:rsid w:val="00FC0977"/>
    <w:rsid w:val="00FC0E56"/>
    <w:rsid w:val="00FC6B5F"/>
    <w:rsid w:val="00FC75F3"/>
    <w:rsid w:val="00FD0E39"/>
    <w:rsid w:val="00FD13DB"/>
    <w:rsid w:val="00FE0862"/>
    <w:rsid w:val="00FE2B73"/>
    <w:rsid w:val="00FF2E09"/>
  </w:rsids>
  <m:mathPr>
    <m:mathFont m:val="Yu Gothic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8A147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8A1478"/>
  </w:style>
  <w:style w:type="paragraph" w:styleId="BalloonText">
    <w:name w:val="Balloon Text"/>
    <w:basedOn w:val="Normal"/>
    <w:link w:val="BalloonTextChar"/>
    <w:uiPriority w:val="99"/>
    <w:semiHidden/>
    <w:unhideWhenUsed/>
    <w:rsid w:val="002641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41EF"/>
    <w:rPr>
      <w:rFonts w:ascii="Times New Roman" w:hAnsi="Times New Roman" w:cs="Times New Roman"/>
      <w:sz w:val="18"/>
      <w:szCs w:val="18"/>
    </w:rPr>
  </w:style>
  <w:style w:type="paragraph" w:styleId="Header">
    <w:name w:val="header"/>
    <w:basedOn w:val="Normal"/>
    <w:link w:val="HeaderChar"/>
    <w:uiPriority w:val="99"/>
    <w:semiHidden/>
    <w:unhideWhenUsed/>
    <w:rsid w:val="00A879DD"/>
    <w:pPr>
      <w:tabs>
        <w:tab w:val="center" w:pos="4320"/>
        <w:tab w:val="right" w:pos="8640"/>
      </w:tabs>
    </w:pPr>
  </w:style>
  <w:style w:type="character" w:customStyle="1" w:styleId="HeaderChar">
    <w:name w:val="Header Char"/>
    <w:basedOn w:val="DefaultParagraphFont"/>
    <w:link w:val="Header"/>
    <w:uiPriority w:val="99"/>
    <w:semiHidden/>
    <w:rsid w:val="00A879DD"/>
  </w:style>
  <w:style w:type="paragraph" w:styleId="Footer">
    <w:name w:val="footer"/>
    <w:basedOn w:val="Normal"/>
    <w:link w:val="FooterChar"/>
    <w:uiPriority w:val="99"/>
    <w:semiHidden/>
    <w:unhideWhenUsed/>
    <w:rsid w:val="00A879DD"/>
    <w:pPr>
      <w:tabs>
        <w:tab w:val="center" w:pos="4320"/>
        <w:tab w:val="right" w:pos="8640"/>
      </w:tabs>
    </w:pPr>
  </w:style>
  <w:style w:type="character" w:customStyle="1" w:styleId="FooterChar">
    <w:name w:val="Footer Char"/>
    <w:basedOn w:val="DefaultParagraphFont"/>
    <w:link w:val="Footer"/>
    <w:uiPriority w:val="99"/>
    <w:semiHidden/>
    <w:rsid w:val="00A879DD"/>
  </w:style>
  <w:style w:type="paragraph" w:customStyle="1" w:styleId="normal0">
    <w:name w:val="normal"/>
    <w:uiPriority w:val="99"/>
    <w:rsid w:val="00586A1B"/>
    <w:pPr>
      <w:spacing w:line="276" w:lineRule="auto"/>
    </w:pPr>
    <w:rPr>
      <w:rFonts w:ascii="Arial" w:eastAsia="Times New Roman" w:hAnsi="Arial" w:cs="Arial"/>
      <w:sz w:val="22"/>
      <w:szCs w:val="22"/>
    </w:rPr>
  </w:style>
  <w:style w:type="paragraph" w:styleId="ListParagraph">
    <w:name w:val="List Paragraph"/>
    <w:basedOn w:val="Normal"/>
    <w:uiPriority w:val="99"/>
    <w:qFormat/>
    <w:rsid w:val="00AB3E18"/>
    <w:pPr>
      <w:ind w:left="720"/>
      <w:contextualSpacing/>
    </w:pPr>
  </w:style>
</w:styles>
</file>

<file path=word/webSettings.xml><?xml version="1.0" encoding="utf-8"?>
<w:webSettings xmlns:r="http://schemas.openxmlformats.org/officeDocument/2006/relationships" xmlns:w="http://schemas.openxmlformats.org/wordprocessingml/2006/main">
  <w:divs>
    <w:div w:id="85929219">
      <w:bodyDiv w:val="1"/>
      <w:marLeft w:val="0"/>
      <w:marRight w:val="0"/>
      <w:marTop w:val="0"/>
      <w:marBottom w:val="0"/>
      <w:divBdr>
        <w:top w:val="none" w:sz="0" w:space="0" w:color="auto"/>
        <w:left w:val="none" w:sz="0" w:space="0" w:color="auto"/>
        <w:bottom w:val="none" w:sz="0" w:space="0" w:color="auto"/>
        <w:right w:val="none" w:sz="0" w:space="0" w:color="auto"/>
      </w:divBdr>
      <w:divsChild>
        <w:div w:id="213856443">
          <w:marLeft w:val="0"/>
          <w:marRight w:val="0"/>
          <w:marTop w:val="0"/>
          <w:marBottom w:val="0"/>
          <w:divBdr>
            <w:top w:val="none" w:sz="0" w:space="0" w:color="auto"/>
            <w:left w:val="none" w:sz="0" w:space="0" w:color="auto"/>
            <w:bottom w:val="none" w:sz="0" w:space="0" w:color="auto"/>
            <w:right w:val="none" w:sz="0" w:space="0" w:color="auto"/>
          </w:divBdr>
          <w:divsChild>
            <w:div w:id="664434273">
              <w:marLeft w:val="0"/>
              <w:marRight w:val="0"/>
              <w:marTop w:val="0"/>
              <w:marBottom w:val="0"/>
              <w:divBdr>
                <w:top w:val="none" w:sz="0" w:space="0" w:color="auto"/>
                <w:left w:val="none" w:sz="0" w:space="0" w:color="auto"/>
                <w:bottom w:val="none" w:sz="0" w:space="0" w:color="auto"/>
                <w:right w:val="none" w:sz="0" w:space="0" w:color="auto"/>
              </w:divBdr>
              <w:divsChild>
                <w:div w:id="9394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7406">
      <w:bodyDiv w:val="1"/>
      <w:marLeft w:val="0"/>
      <w:marRight w:val="0"/>
      <w:marTop w:val="0"/>
      <w:marBottom w:val="0"/>
      <w:divBdr>
        <w:top w:val="none" w:sz="0" w:space="0" w:color="auto"/>
        <w:left w:val="none" w:sz="0" w:space="0" w:color="auto"/>
        <w:bottom w:val="none" w:sz="0" w:space="0" w:color="auto"/>
        <w:right w:val="none" w:sz="0" w:space="0" w:color="auto"/>
      </w:divBdr>
      <w:divsChild>
        <w:div w:id="928005675">
          <w:marLeft w:val="0"/>
          <w:marRight w:val="0"/>
          <w:marTop w:val="0"/>
          <w:marBottom w:val="0"/>
          <w:divBdr>
            <w:top w:val="none" w:sz="0" w:space="0" w:color="auto"/>
            <w:left w:val="none" w:sz="0" w:space="0" w:color="auto"/>
            <w:bottom w:val="none" w:sz="0" w:space="0" w:color="auto"/>
            <w:right w:val="none" w:sz="0" w:space="0" w:color="auto"/>
          </w:divBdr>
          <w:divsChild>
            <w:div w:id="1017580511">
              <w:marLeft w:val="0"/>
              <w:marRight w:val="0"/>
              <w:marTop w:val="0"/>
              <w:marBottom w:val="0"/>
              <w:divBdr>
                <w:top w:val="none" w:sz="0" w:space="0" w:color="auto"/>
                <w:left w:val="none" w:sz="0" w:space="0" w:color="auto"/>
                <w:bottom w:val="none" w:sz="0" w:space="0" w:color="auto"/>
                <w:right w:val="none" w:sz="0" w:space="0" w:color="auto"/>
              </w:divBdr>
              <w:divsChild>
                <w:div w:id="1194656793">
                  <w:marLeft w:val="0"/>
                  <w:marRight w:val="0"/>
                  <w:marTop w:val="0"/>
                  <w:marBottom w:val="0"/>
                  <w:divBdr>
                    <w:top w:val="none" w:sz="0" w:space="0" w:color="auto"/>
                    <w:left w:val="none" w:sz="0" w:space="0" w:color="auto"/>
                    <w:bottom w:val="none" w:sz="0" w:space="0" w:color="auto"/>
                    <w:right w:val="none" w:sz="0" w:space="0" w:color="auto"/>
                  </w:divBdr>
                </w:div>
              </w:divsChild>
            </w:div>
            <w:div w:id="1164052518">
              <w:marLeft w:val="0"/>
              <w:marRight w:val="0"/>
              <w:marTop w:val="0"/>
              <w:marBottom w:val="0"/>
              <w:divBdr>
                <w:top w:val="none" w:sz="0" w:space="0" w:color="auto"/>
                <w:left w:val="none" w:sz="0" w:space="0" w:color="auto"/>
                <w:bottom w:val="none" w:sz="0" w:space="0" w:color="auto"/>
                <w:right w:val="none" w:sz="0" w:space="0" w:color="auto"/>
              </w:divBdr>
              <w:divsChild>
                <w:div w:id="1965501848">
                  <w:marLeft w:val="0"/>
                  <w:marRight w:val="0"/>
                  <w:marTop w:val="0"/>
                  <w:marBottom w:val="0"/>
                  <w:divBdr>
                    <w:top w:val="none" w:sz="0" w:space="0" w:color="auto"/>
                    <w:left w:val="none" w:sz="0" w:space="0" w:color="auto"/>
                    <w:bottom w:val="none" w:sz="0" w:space="0" w:color="auto"/>
                    <w:right w:val="none" w:sz="0" w:space="0" w:color="auto"/>
                  </w:divBdr>
                </w:div>
                <w:div w:id="1161963464">
                  <w:marLeft w:val="0"/>
                  <w:marRight w:val="0"/>
                  <w:marTop w:val="0"/>
                  <w:marBottom w:val="0"/>
                  <w:divBdr>
                    <w:top w:val="none" w:sz="0" w:space="0" w:color="auto"/>
                    <w:left w:val="none" w:sz="0" w:space="0" w:color="auto"/>
                    <w:bottom w:val="none" w:sz="0" w:space="0" w:color="auto"/>
                    <w:right w:val="none" w:sz="0" w:space="0" w:color="auto"/>
                  </w:divBdr>
                </w:div>
              </w:divsChild>
            </w:div>
            <w:div w:id="1247770100">
              <w:marLeft w:val="0"/>
              <w:marRight w:val="0"/>
              <w:marTop w:val="0"/>
              <w:marBottom w:val="0"/>
              <w:divBdr>
                <w:top w:val="none" w:sz="0" w:space="0" w:color="auto"/>
                <w:left w:val="none" w:sz="0" w:space="0" w:color="auto"/>
                <w:bottom w:val="none" w:sz="0" w:space="0" w:color="auto"/>
                <w:right w:val="none" w:sz="0" w:space="0" w:color="auto"/>
              </w:divBdr>
              <w:divsChild>
                <w:div w:id="6518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086">
      <w:bodyDiv w:val="1"/>
      <w:marLeft w:val="0"/>
      <w:marRight w:val="0"/>
      <w:marTop w:val="0"/>
      <w:marBottom w:val="0"/>
      <w:divBdr>
        <w:top w:val="none" w:sz="0" w:space="0" w:color="auto"/>
        <w:left w:val="none" w:sz="0" w:space="0" w:color="auto"/>
        <w:bottom w:val="none" w:sz="0" w:space="0" w:color="auto"/>
        <w:right w:val="none" w:sz="0" w:space="0" w:color="auto"/>
      </w:divBdr>
      <w:divsChild>
        <w:div w:id="715927652">
          <w:marLeft w:val="0"/>
          <w:marRight w:val="0"/>
          <w:marTop w:val="0"/>
          <w:marBottom w:val="0"/>
          <w:divBdr>
            <w:top w:val="none" w:sz="0" w:space="0" w:color="auto"/>
            <w:left w:val="none" w:sz="0" w:space="0" w:color="auto"/>
            <w:bottom w:val="none" w:sz="0" w:space="0" w:color="auto"/>
            <w:right w:val="none" w:sz="0" w:space="0" w:color="auto"/>
          </w:divBdr>
          <w:divsChild>
            <w:div w:id="81100732">
              <w:marLeft w:val="0"/>
              <w:marRight w:val="0"/>
              <w:marTop w:val="0"/>
              <w:marBottom w:val="0"/>
              <w:divBdr>
                <w:top w:val="none" w:sz="0" w:space="0" w:color="auto"/>
                <w:left w:val="none" w:sz="0" w:space="0" w:color="auto"/>
                <w:bottom w:val="none" w:sz="0" w:space="0" w:color="auto"/>
                <w:right w:val="none" w:sz="0" w:space="0" w:color="auto"/>
              </w:divBdr>
              <w:divsChild>
                <w:div w:id="1839298405">
                  <w:marLeft w:val="0"/>
                  <w:marRight w:val="0"/>
                  <w:marTop w:val="0"/>
                  <w:marBottom w:val="0"/>
                  <w:divBdr>
                    <w:top w:val="none" w:sz="0" w:space="0" w:color="auto"/>
                    <w:left w:val="none" w:sz="0" w:space="0" w:color="auto"/>
                    <w:bottom w:val="none" w:sz="0" w:space="0" w:color="auto"/>
                    <w:right w:val="none" w:sz="0" w:space="0" w:color="auto"/>
                  </w:divBdr>
                </w:div>
              </w:divsChild>
            </w:div>
            <w:div w:id="1764178924">
              <w:marLeft w:val="0"/>
              <w:marRight w:val="0"/>
              <w:marTop w:val="0"/>
              <w:marBottom w:val="0"/>
              <w:divBdr>
                <w:top w:val="none" w:sz="0" w:space="0" w:color="auto"/>
                <w:left w:val="none" w:sz="0" w:space="0" w:color="auto"/>
                <w:bottom w:val="none" w:sz="0" w:space="0" w:color="auto"/>
                <w:right w:val="none" w:sz="0" w:space="0" w:color="auto"/>
              </w:divBdr>
              <w:divsChild>
                <w:div w:id="2053769383">
                  <w:marLeft w:val="0"/>
                  <w:marRight w:val="0"/>
                  <w:marTop w:val="0"/>
                  <w:marBottom w:val="0"/>
                  <w:divBdr>
                    <w:top w:val="none" w:sz="0" w:space="0" w:color="auto"/>
                    <w:left w:val="none" w:sz="0" w:space="0" w:color="auto"/>
                    <w:bottom w:val="none" w:sz="0" w:space="0" w:color="auto"/>
                    <w:right w:val="none" w:sz="0" w:space="0" w:color="auto"/>
                  </w:divBdr>
                </w:div>
              </w:divsChild>
            </w:div>
            <w:div w:id="1447894322">
              <w:marLeft w:val="0"/>
              <w:marRight w:val="0"/>
              <w:marTop w:val="0"/>
              <w:marBottom w:val="0"/>
              <w:divBdr>
                <w:top w:val="none" w:sz="0" w:space="0" w:color="auto"/>
                <w:left w:val="none" w:sz="0" w:space="0" w:color="auto"/>
                <w:bottom w:val="none" w:sz="0" w:space="0" w:color="auto"/>
                <w:right w:val="none" w:sz="0" w:space="0" w:color="auto"/>
              </w:divBdr>
              <w:divsChild>
                <w:div w:id="18245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4515">
      <w:bodyDiv w:val="1"/>
      <w:marLeft w:val="0"/>
      <w:marRight w:val="0"/>
      <w:marTop w:val="0"/>
      <w:marBottom w:val="0"/>
      <w:divBdr>
        <w:top w:val="none" w:sz="0" w:space="0" w:color="auto"/>
        <w:left w:val="none" w:sz="0" w:space="0" w:color="auto"/>
        <w:bottom w:val="none" w:sz="0" w:space="0" w:color="auto"/>
        <w:right w:val="none" w:sz="0" w:space="0" w:color="auto"/>
      </w:divBdr>
      <w:divsChild>
        <w:div w:id="1633487613">
          <w:marLeft w:val="0"/>
          <w:marRight w:val="0"/>
          <w:marTop w:val="0"/>
          <w:marBottom w:val="0"/>
          <w:divBdr>
            <w:top w:val="none" w:sz="0" w:space="0" w:color="auto"/>
            <w:left w:val="none" w:sz="0" w:space="0" w:color="auto"/>
            <w:bottom w:val="none" w:sz="0" w:space="0" w:color="auto"/>
            <w:right w:val="none" w:sz="0" w:space="0" w:color="auto"/>
          </w:divBdr>
          <w:divsChild>
            <w:div w:id="559754089">
              <w:marLeft w:val="0"/>
              <w:marRight w:val="0"/>
              <w:marTop w:val="0"/>
              <w:marBottom w:val="0"/>
              <w:divBdr>
                <w:top w:val="none" w:sz="0" w:space="0" w:color="auto"/>
                <w:left w:val="none" w:sz="0" w:space="0" w:color="auto"/>
                <w:bottom w:val="none" w:sz="0" w:space="0" w:color="auto"/>
                <w:right w:val="none" w:sz="0" w:space="0" w:color="auto"/>
              </w:divBdr>
              <w:divsChild>
                <w:div w:id="10186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97154">
      <w:bodyDiv w:val="1"/>
      <w:marLeft w:val="0"/>
      <w:marRight w:val="0"/>
      <w:marTop w:val="0"/>
      <w:marBottom w:val="0"/>
      <w:divBdr>
        <w:top w:val="none" w:sz="0" w:space="0" w:color="auto"/>
        <w:left w:val="none" w:sz="0" w:space="0" w:color="auto"/>
        <w:bottom w:val="none" w:sz="0" w:space="0" w:color="auto"/>
        <w:right w:val="none" w:sz="0" w:space="0" w:color="auto"/>
      </w:divBdr>
      <w:divsChild>
        <w:div w:id="1101418739">
          <w:marLeft w:val="0"/>
          <w:marRight w:val="0"/>
          <w:marTop w:val="0"/>
          <w:marBottom w:val="0"/>
          <w:divBdr>
            <w:top w:val="none" w:sz="0" w:space="0" w:color="auto"/>
            <w:left w:val="none" w:sz="0" w:space="0" w:color="auto"/>
            <w:bottom w:val="none" w:sz="0" w:space="0" w:color="auto"/>
            <w:right w:val="none" w:sz="0" w:space="0" w:color="auto"/>
          </w:divBdr>
          <w:divsChild>
            <w:div w:id="744961239">
              <w:marLeft w:val="0"/>
              <w:marRight w:val="0"/>
              <w:marTop w:val="0"/>
              <w:marBottom w:val="0"/>
              <w:divBdr>
                <w:top w:val="none" w:sz="0" w:space="0" w:color="auto"/>
                <w:left w:val="none" w:sz="0" w:space="0" w:color="auto"/>
                <w:bottom w:val="none" w:sz="0" w:space="0" w:color="auto"/>
                <w:right w:val="none" w:sz="0" w:space="0" w:color="auto"/>
              </w:divBdr>
              <w:divsChild>
                <w:div w:id="628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0796">
      <w:bodyDiv w:val="1"/>
      <w:marLeft w:val="0"/>
      <w:marRight w:val="0"/>
      <w:marTop w:val="0"/>
      <w:marBottom w:val="0"/>
      <w:divBdr>
        <w:top w:val="none" w:sz="0" w:space="0" w:color="auto"/>
        <w:left w:val="none" w:sz="0" w:space="0" w:color="auto"/>
        <w:bottom w:val="none" w:sz="0" w:space="0" w:color="auto"/>
        <w:right w:val="none" w:sz="0" w:space="0" w:color="auto"/>
      </w:divBdr>
      <w:divsChild>
        <w:div w:id="1662391401">
          <w:marLeft w:val="0"/>
          <w:marRight w:val="0"/>
          <w:marTop w:val="0"/>
          <w:marBottom w:val="0"/>
          <w:divBdr>
            <w:top w:val="none" w:sz="0" w:space="0" w:color="auto"/>
            <w:left w:val="none" w:sz="0" w:space="0" w:color="auto"/>
            <w:bottom w:val="none" w:sz="0" w:space="0" w:color="auto"/>
            <w:right w:val="none" w:sz="0" w:space="0" w:color="auto"/>
          </w:divBdr>
          <w:divsChild>
            <w:div w:id="1809005154">
              <w:marLeft w:val="0"/>
              <w:marRight w:val="0"/>
              <w:marTop w:val="0"/>
              <w:marBottom w:val="0"/>
              <w:divBdr>
                <w:top w:val="none" w:sz="0" w:space="0" w:color="auto"/>
                <w:left w:val="none" w:sz="0" w:space="0" w:color="auto"/>
                <w:bottom w:val="none" w:sz="0" w:space="0" w:color="auto"/>
                <w:right w:val="none" w:sz="0" w:space="0" w:color="auto"/>
              </w:divBdr>
              <w:divsChild>
                <w:div w:id="14963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995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11">
          <w:marLeft w:val="0"/>
          <w:marRight w:val="0"/>
          <w:marTop w:val="0"/>
          <w:marBottom w:val="0"/>
          <w:divBdr>
            <w:top w:val="none" w:sz="0" w:space="0" w:color="auto"/>
            <w:left w:val="none" w:sz="0" w:space="0" w:color="auto"/>
            <w:bottom w:val="none" w:sz="0" w:space="0" w:color="auto"/>
            <w:right w:val="none" w:sz="0" w:space="0" w:color="auto"/>
          </w:divBdr>
          <w:divsChild>
            <w:div w:id="1893808348">
              <w:marLeft w:val="0"/>
              <w:marRight w:val="0"/>
              <w:marTop w:val="0"/>
              <w:marBottom w:val="0"/>
              <w:divBdr>
                <w:top w:val="none" w:sz="0" w:space="0" w:color="auto"/>
                <w:left w:val="none" w:sz="0" w:space="0" w:color="auto"/>
                <w:bottom w:val="none" w:sz="0" w:space="0" w:color="auto"/>
                <w:right w:val="none" w:sz="0" w:space="0" w:color="auto"/>
              </w:divBdr>
              <w:divsChild>
                <w:div w:id="978345046">
                  <w:marLeft w:val="0"/>
                  <w:marRight w:val="0"/>
                  <w:marTop w:val="0"/>
                  <w:marBottom w:val="0"/>
                  <w:divBdr>
                    <w:top w:val="none" w:sz="0" w:space="0" w:color="auto"/>
                    <w:left w:val="none" w:sz="0" w:space="0" w:color="auto"/>
                    <w:bottom w:val="none" w:sz="0" w:space="0" w:color="auto"/>
                    <w:right w:val="none" w:sz="0" w:space="0" w:color="auto"/>
                  </w:divBdr>
                  <w:divsChild>
                    <w:div w:id="18167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5987">
      <w:bodyDiv w:val="1"/>
      <w:marLeft w:val="0"/>
      <w:marRight w:val="0"/>
      <w:marTop w:val="0"/>
      <w:marBottom w:val="0"/>
      <w:divBdr>
        <w:top w:val="none" w:sz="0" w:space="0" w:color="auto"/>
        <w:left w:val="none" w:sz="0" w:space="0" w:color="auto"/>
        <w:bottom w:val="none" w:sz="0" w:space="0" w:color="auto"/>
        <w:right w:val="none" w:sz="0" w:space="0" w:color="auto"/>
      </w:divBdr>
      <w:divsChild>
        <w:div w:id="1425225343">
          <w:marLeft w:val="0"/>
          <w:marRight w:val="0"/>
          <w:marTop w:val="0"/>
          <w:marBottom w:val="0"/>
          <w:divBdr>
            <w:top w:val="none" w:sz="0" w:space="0" w:color="auto"/>
            <w:left w:val="none" w:sz="0" w:space="0" w:color="auto"/>
            <w:bottom w:val="none" w:sz="0" w:space="0" w:color="auto"/>
            <w:right w:val="none" w:sz="0" w:space="0" w:color="auto"/>
          </w:divBdr>
          <w:divsChild>
            <w:div w:id="917785280">
              <w:marLeft w:val="0"/>
              <w:marRight w:val="0"/>
              <w:marTop w:val="0"/>
              <w:marBottom w:val="0"/>
              <w:divBdr>
                <w:top w:val="none" w:sz="0" w:space="0" w:color="auto"/>
                <w:left w:val="none" w:sz="0" w:space="0" w:color="auto"/>
                <w:bottom w:val="none" w:sz="0" w:space="0" w:color="auto"/>
                <w:right w:val="none" w:sz="0" w:space="0" w:color="auto"/>
              </w:divBdr>
              <w:divsChild>
                <w:div w:id="16713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3223">
      <w:bodyDiv w:val="1"/>
      <w:marLeft w:val="0"/>
      <w:marRight w:val="0"/>
      <w:marTop w:val="0"/>
      <w:marBottom w:val="0"/>
      <w:divBdr>
        <w:top w:val="none" w:sz="0" w:space="0" w:color="auto"/>
        <w:left w:val="none" w:sz="0" w:space="0" w:color="auto"/>
        <w:bottom w:val="none" w:sz="0" w:space="0" w:color="auto"/>
        <w:right w:val="none" w:sz="0" w:space="0" w:color="auto"/>
      </w:divBdr>
      <w:divsChild>
        <w:div w:id="317341775">
          <w:marLeft w:val="0"/>
          <w:marRight w:val="0"/>
          <w:marTop w:val="0"/>
          <w:marBottom w:val="0"/>
          <w:divBdr>
            <w:top w:val="none" w:sz="0" w:space="0" w:color="auto"/>
            <w:left w:val="none" w:sz="0" w:space="0" w:color="auto"/>
            <w:bottom w:val="none" w:sz="0" w:space="0" w:color="auto"/>
            <w:right w:val="none" w:sz="0" w:space="0" w:color="auto"/>
          </w:divBdr>
          <w:divsChild>
            <w:div w:id="1120107369">
              <w:marLeft w:val="0"/>
              <w:marRight w:val="0"/>
              <w:marTop w:val="0"/>
              <w:marBottom w:val="0"/>
              <w:divBdr>
                <w:top w:val="none" w:sz="0" w:space="0" w:color="auto"/>
                <w:left w:val="none" w:sz="0" w:space="0" w:color="auto"/>
                <w:bottom w:val="none" w:sz="0" w:space="0" w:color="auto"/>
                <w:right w:val="none" w:sz="0" w:space="0" w:color="auto"/>
              </w:divBdr>
              <w:divsChild>
                <w:div w:id="8178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0232">
      <w:bodyDiv w:val="1"/>
      <w:marLeft w:val="0"/>
      <w:marRight w:val="0"/>
      <w:marTop w:val="0"/>
      <w:marBottom w:val="0"/>
      <w:divBdr>
        <w:top w:val="none" w:sz="0" w:space="0" w:color="auto"/>
        <w:left w:val="none" w:sz="0" w:space="0" w:color="auto"/>
        <w:bottom w:val="none" w:sz="0" w:space="0" w:color="auto"/>
        <w:right w:val="none" w:sz="0" w:space="0" w:color="auto"/>
      </w:divBdr>
      <w:divsChild>
        <w:div w:id="140122188">
          <w:marLeft w:val="0"/>
          <w:marRight w:val="0"/>
          <w:marTop w:val="0"/>
          <w:marBottom w:val="0"/>
          <w:divBdr>
            <w:top w:val="none" w:sz="0" w:space="0" w:color="auto"/>
            <w:left w:val="none" w:sz="0" w:space="0" w:color="auto"/>
            <w:bottom w:val="none" w:sz="0" w:space="0" w:color="auto"/>
            <w:right w:val="none" w:sz="0" w:space="0" w:color="auto"/>
          </w:divBdr>
          <w:divsChild>
            <w:div w:id="1268006703">
              <w:marLeft w:val="0"/>
              <w:marRight w:val="0"/>
              <w:marTop w:val="0"/>
              <w:marBottom w:val="0"/>
              <w:divBdr>
                <w:top w:val="none" w:sz="0" w:space="0" w:color="auto"/>
                <w:left w:val="none" w:sz="0" w:space="0" w:color="auto"/>
                <w:bottom w:val="none" w:sz="0" w:space="0" w:color="auto"/>
                <w:right w:val="none" w:sz="0" w:space="0" w:color="auto"/>
              </w:divBdr>
              <w:divsChild>
                <w:div w:id="252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00328">
      <w:bodyDiv w:val="1"/>
      <w:marLeft w:val="0"/>
      <w:marRight w:val="0"/>
      <w:marTop w:val="0"/>
      <w:marBottom w:val="0"/>
      <w:divBdr>
        <w:top w:val="none" w:sz="0" w:space="0" w:color="auto"/>
        <w:left w:val="none" w:sz="0" w:space="0" w:color="auto"/>
        <w:bottom w:val="none" w:sz="0" w:space="0" w:color="auto"/>
        <w:right w:val="none" w:sz="0" w:space="0" w:color="auto"/>
      </w:divBdr>
      <w:divsChild>
        <w:div w:id="2081057938">
          <w:marLeft w:val="0"/>
          <w:marRight w:val="0"/>
          <w:marTop w:val="0"/>
          <w:marBottom w:val="0"/>
          <w:divBdr>
            <w:top w:val="none" w:sz="0" w:space="0" w:color="auto"/>
            <w:left w:val="none" w:sz="0" w:space="0" w:color="auto"/>
            <w:bottom w:val="none" w:sz="0" w:space="0" w:color="auto"/>
            <w:right w:val="none" w:sz="0" w:space="0" w:color="auto"/>
          </w:divBdr>
          <w:divsChild>
            <w:div w:id="82532955">
              <w:marLeft w:val="0"/>
              <w:marRight w:val="0"/>
              <w:marTop w:val="0"/>
              <w:marBottom w:val="0"/>
              <w:divBdr>
                <w:top w:val="none" w:sz="0" w:space="0" w:color="auto"/>
                <w:left w:val="none" w:sz="0" w:space="0" w:color="auto"/>
                <w:bottom w:val="none" w:sz="0" w:space="0" w:color="auto"/>
                <w:right w:val="none" w:sz="0" w:space="0" w:color="auto"/>
              </w:divBdr>
              <w:divsChild>
                <w:div w:id="366611203">
                  <w:marLeft w:val="0"/>
                  <w:marRight w:val="0"/>
                  <w:marTop w:val="0"/>
                  <w:marBottom w:val="0"/>
                  <w:divBdr>
                    <w:top w:val="none" w:sz="0" w:space="0" w:color="auto"/>
                    <w:left w:val="none" w:sz="0" w:space="0" w:color="auto"/>
                    <w:bottom w:val="none" w:sz="0" w:space="0" w:color="auto"/>
                    <w:right w:val="none" w:sz="0" w:space="0" w:color="auto"/>
                  </w:divBdr>
                  <w:divsChild>
                    <w:div w:id="12687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6142">
      <w:bodyDiv w:val="1"/>
      <w:marLeft w:val="0"/>
      <w:marRight w:val="0"/>
      <w:marTop w:val="0"/>
      <w:marBottom w:val="0"/>
      <w:divBdr>
        <w:top w:val="none" w:sz="0" w:space="0" w:color="auto"/>
        <w:left w:val="none" w:sz="0" w:space="0" w:color="auto"/>
        <w:bottom w:val="none" w:sz="0" w:space="0" w:color="auto"/>
        <w:right w:val="none" w:sz="0" w:space="0" w:color="auto"/>
      </w:divBdr>
      <w:divsChild>
        <w:div w:id="1818066908">
          <w:marLeft w:val="0"/>
          <w:marRight w:val="0"/>
          <w:marTop w:val="0"/>
          <w:marBottom w:val="0"/>
          <w:divBdr>
            <w:top w:val="none" w:sz="0" w:space="0" w:color="auto"/>
            <w:left w:val="none" w:sz="0" w:space="0" w:color="auto"/>
            <w:bottom w:val="none" w:sz="0" w:space="0" w:color="auto"/>
            <w:right w:val="none" w:sz="0" w:space="0" w:color="auto"/>
          </w:divBdr>
          <w:divsChild>
            <w:div w:id="559831594">
              <w:marLeft w:val="0"/>
              <w:marRight w:val="0"/>
              <w:marTop w:val="0"/>
              <w:marBottom w:val="0"/>
              <w:divBdr>
                <w:top w:val="none" w:sz="0" w:space="0" w:color="auto"/>
                <w:left w:val="none" w:sz="0" w:space="0" w:color="auto"/>
                <w:bottom w:val="none" w:sz="0" w:space="0" w:color="auto"/>
                <w:right w:val="none" w:sz="0" w:space="0" w:color="auto"/>
              </w:divBdr>
              <w:divsChild>
                <w:div w:id="1318149851">
                  <w:marLeft w:val="0"/>
                  <w:marRight w:val="0"/>
                  <w:marTop w:val="0"/>
                  <w:marBottom w:val="0"/>
                  <w:divBdr>
                    <w:top w:val="none" w:sz="0" w:space="0" w:color="auto"/>
                    <w:left w:val="none" w:sz="0" w:space="0" w:color="auto"/>
                    <w:bottom w:val="none" w:sz="0" w:space="0" w:color="auto"/>
                    <w:right w:val="none" w:sz="0" w:space="0" w:color="auto"/>
                  </w:divBdr>
                </w:div>
              </w:divsChild>
            </w:div>
            <w:div w:id="1643001701">
              <w:marLeft w:val="0"/>
              <w:marRight w:val="0"/>
              <w:marTop w:val="0"/>
              <w:marBottom w:val="0"/>
              <w:divBdr>
                <w:top w:val="none" w:sz="0" w:space="0" w:color="auto"/>
                <w:left w:val="none" w:sz="0" w:space="0" w:color="auto"/>
                <w:bottom w:val="none" w:sz="0" w:space="0" w:color="auto"/>
                <w:right w:val="none" w:sz="0" w:space="0" w:color="auto"/>
              </w:divBdr>
              <w:divsChild>
                <w:div w:id="536237551">
                  <w:marLeft w:val="0"/>
                  <w:marRight w:val="0"/>
                  <w:marTop w:val="0"/>
                  <w:marBottom w:val="0"/>
                  <w:divBdr>
                    <w:top w:val="none" w:sz="0" w:space="0" w:color="auto"/>
                    <w:left w:val="none" w:sz="0" w:space="0" w:color="auto"/>
                    <w:bottom w:val="none" w:sz="0" w:space="0" w:color="auto"/>
                    <w:right w:val="none" w:sz="0" w:space="0" w:color="auto"/>
                  </w:divBdr>
                </w:div>
                <w:div w:id="1495683577">
                  <w:marLeft w:val="0"/>
                  <w:marRight w:val="0"/>
                  <w:marTop w:val="0"/>
                  <w:marBottom w:val="0"/>
                  <w:divBdr>
                    <w:top w:val="none" w:sz="0" w:space="0" w:color="auto"/>
                    <w:left w:val="none" w:sz="0" w:space="0" w:color="auto"/>
                    <w:bottom w:val="none" w:sz="0" w:space="0" w:color="auto"/>
                    <w:right w:val="none" w:sz="0" w:space="0" w:color="auto"/>
                  </w:divBdr>
                </w:div>
              </w:divsChild>
            </w:div>
            <w:div w:id="1191341647">
              <w:marLeft w:val="0"/>
              <w:marRight w:val="0"/>
              <w:marTop w:val="0"/>
              <w:marBottom w:val="0"/>
              <w:divBdr>
                <w:top w:val="none" w:sz="0" w:space="0" w:color="auto"/>
                <w:left w:val="none" w:sz="0" w:space="0" w:color="auto"/>
                <w:bottom w:val="none" w:sz="0" w:space="0" w:color="auto"/>
                <w:right w:val="none" w:sz="0" w:space="0" w:color="auto"/>
              </w:divBdr>
              <w:divsChild>
                <w:div w:id="7961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8520">
      <w:bodyDiv w:val="1"/>
      <w:marLeft w:val="0"/>
      <w:marRight w:val="0"/>
      <w:marTop w:val="0"/>
      <w:marBottom w:val="0"/>
      <w:divBdr>
        <w:top w:val="none" w:sz="0" w:space="0" w:color="auto"/>
        <w:left w:val="none" w:sz="0" w:space="0" w:color="auto"/>
        <w:bottom w:val="none" w:sz="0" w:space="0" w:color="auto"/>
        <w:right w:val="none" w:sz="0" w:space="0" w:color="auto"/>
      </w:divBdr>
      <w:divsChild>
        <w:div w:id="1429276554">
          <w:marLeft w:val="0"/>
          <w:marRight w:val="0"/>
          <w:marTop w:val="0"/>
          <w:marBottom w:val="0"/>
          <w:divBdr>
            <w:top w:val="none" w:sz="0" w:space="0" w:color="auto"/>
            <w:left w:val="none" w:sz="0" w:space="0" w:color="auto"/>
            <w:bottom w:val="none" w:sz="0" w:space="0" w:color="auto"/>
            <w:right w:val="none" w:sz="0" w:space="0" w:color="auto"/>
          </w:divBdr>
          <w:divsChild>
            <w:div w:id="1339041755">
              <w:marLeft w:val="0"/>
              <w:marRight w:val="0"/>
              <w:marTop w:val="0"/>
              <w:marBottom w:val="0"/>
              <w:divBdr>
                <w:top w:val="none" w:sz="0" w:space="0" w:color="auto"/>
                <w:left w:val="none" w:sz="0" w:space="0" w:color="auto"/>
                <w:bottom w:val="none" w:sz="0" w:space="0" w:color="auto"/>
                <w:right w:val="none" w:sz="0" w:space="0" w:color="auto"/>
              </w:divBdr>
              <w:divsChild>
                <w:div w:id="1781487617">
                  <w:marLeft w:val="0"/>
                  <w:marRight w:val="0"/>
                  <w:marTop w:val="0"/>
                  <w:marBottom w:val="0"/>
                  <w:divBdr>
                    <w:top w:val="none" w:sz="0" w:space="0" w:color="auto"/>
                    <w:left w:val="none" w:sz="0" w:space="0" w:color="auto"/>
                    <w:bottom w:val="none" w:sz="0" w:space="0" w:color="auto"/>
                    <w:right w:val="none" w:sz="0" w:space="0" w:color="auto"/>
                  </w:divBdr>
                </w:div>
              </w:divsChild>
            </w:div>
            <w:div w:id="1381398632">
              <w:marLeft w:val="0"/>
              <w:marRight w:val="0"/>
              <w:marTop w:val="0"/>
              <w:marBottom w:val="0"/>
              <w:divBdr>
                <w:top w:val="none" w:sz="0" w:space="0" w:color="auto"/>
                <w:left w:val="none" w:sz="0" w:space="0" w:color="auto"/>
                <w:bottom w:val="none" w:sz="0" w:space="0" w:color="auto"/>
                <w:right w:val="none" w:sz="0" w:space="0" w:color="auto"/>
              </w:divBdr>
              <w:divsChild>
                <w:div w:id="3480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7314">
      <w:bodyDiv w:val="1"/>
      <w:marLeft w:val="0"/>
      <w:marRight w:val="0"/>
      <w:marTop w:val="0"/>
      <w:marBottom w:val="0"/>
      <w:divBdr>
        <w:top w:val="none" w:sz="0" w:space="0" w:color="auto"/>
        <w:left w:val="none" w:sz="0" w:space="0" w:color="auto"/>
        <w:bottom w:val="none" w:sz="0" w:space="0" w:color="auto"/>
        <w:right w:val="none" w:sz="0" w:space="0" w:color="auto"/>
      </w:divBdr>
      <w:divsChild>
        <w:div w:id="2013528333">
          <w:marLeft w:val="0"/>
          <w:marRight w:val="0"/>
          <w:marTop w:val="0"/>
          <w:marBottom w:val="0"/>
          <w:divBdr>
            <w:top w:val="none" w:sz="0" w:space="0" w:color="auto"/>
            <w:left w:val="none" w:sz="0" w:space="0" w:color="auto"/>
            <w:bottom w:val="none" w:sz="0" w:space="0" w:color="auto"/>
            <w:right w:val="none" w:sz="0" w:space="0" w:color="auto"/>
          </w:divBdr>
          <w:divsChild>
            <w:div w:id="1207596340">
              <w:marLeft w:val="0"/>
              <w:marRight w:val="0"/>
              <w:marTop w:val="0"/>
              <w:marBottom w:val="0"/>
              <w:divBdr>
                <w:top w:val="none" w:sz="0" w:space="0" w:color="auto"/>
                <w:left w:val="none" w:sz="0" w:space="0" w:color="auto"/>
                <w:bottom w:val="none" w:sz="0" w:space="0" w:color="auto"/>
                <w:right w:val="none" w:sz="0" w:space="0" w:color="auto"/>
              </w:divBdr>
              <w:divsChild>
                <w:div w:id="2138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sChild>
        <w:div w:id="1300920320">
          <w:marLeft w:val="0"/>
          <w:marRight w:val="0"/>
          <w:marTop w:val="0"/>
          <w:marBottom w:val="0"/>
          <w:divBdr>
            <w:top w:val="none" w:sz="0" w:space="0" w:color="auto"/>
            <w:left w:val="none" w:sz="0" w:space="0" w:color="auto"/>
            <w:bottom w:val="none" w:sz="0" w:space="0" w:color="auto"/>
            <w:right w:val="none" w:sz="0" w:space="0" w:color="auto"/>
          </w:divBdr>
          <w:divsChild>
            <w:div w:id="1858228065">
              <w:marLeft w:val="0"/>
              <w:marRight w:val="0"/>
              <w:marTop w:val="0"/>
              <w:marBottom w:val="0"/>
              <w:divBdr>
                <w:top w:val="none" w:sz="0" w:space="0" w:color="auto"/>
                <w:left w:val="none" w:sz="0" w:space="0" w:color="auto"/>
                <w:bottom w:val="none" w:sz="0" w:space="0" w:color="auto"/>
                <w:right w:val="none" w:sz="0" w:space="0" w:color="auto"/>
              </w:divBdr>
              <w:divsChild>
                <w:div w:id="2303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7251">
      <w:bodyDiv w:val="1"/>
      <w:marLeft w:val="0"/>
      <w:marRight w:val="0"/>
      <w:marTop w:val="0"/>
      <w:marBottom w:val="0"/>
      <w:divBdr>
        <w:top w:val="none" w:sz="0" w:space="0" w:color="auto"/>
        <w:left w:val="none" w:sz="0" w:space="0" w:color="auto"/>
        <w:bottom w:val="none" w:sz="0" w:space="0" w:color="auto"/>
        <w:right w:val="none" w:sz="0" w:space="0" w:color="auto"/>
      </w:divBdr>
      <w:divsChild>
        <w:div w:id="401872060">
          <w:marLeft w:val="0"/>
          <w:marRight w:val="0"/>
          <w:marTop w:val="0"/>
          <w:marBottom w:val="0"/>
          <w:divBdr>
            <w:top w:val="none" w:sz="0" w:space="0" w:color="auto"/>
            <w:left w:val="none" w:sz="0" w:space="0" w:color="auto"/>
            <w:bottom w:val="none" w:sz="0" w:space="0" w:color="auto"/>
            <w:right w:val="none" w:sz="0" w:space="0" w:color="auto"/>
          </w:divBdr>
          <w:divsChild>
            <w:div w:id="642850315">
              <w:marLeft w:val="0"/>
              <w:marRight w:val="0"/>
              <w:marTop w:val="0"/>
              <w:marBottom w:val="0"/>
              <w:divBdr>
                <w:top w:val="none" w:sz="0" w:space="0" w:color="auto"/>
                <w:left w:val="none" w:sz="0" w:space="0" w:color="auto"/>
                <w:bottom w:val="none" w:sz="0" w:space="0" w:color="auto"/>
                <w:right w:val="none" w:sz="0" w:space="0" w:color="auto"/>
              </w:divBdr>
              <w:divsChild>
                <w:div w:id="1412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2133</TotalTime>
  <Pages>5</Pages>
  <Words>1196</Words>
  <Characters>6821</Characters>
  <Application>Microsoft Macintosh Word</Application>
  <DocSecurity>0</DocSecurity>
  <Lines>56</Lines>
  <Paragraphs>13</Paragraphs>
  <ScaleCrop>false</ScaleCrop>
  <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Smith</dc:creator>
  <cp:keywords/>
  <dc:description/>
  <cp:lastModifiedBy>Eric Epstein</cp:lastModifiedBy>
  <cp:revision>314</cp:revision>
  <cp:lastPrinted>2019-07-19T20:15:00Z</cp:lastPrinted>
  <dcterms:created xsi:type="dcterms:W3CDTF">2019-04-23T17:16:00Z</dcterms:created>
  <dcterms:modified xsi:type="dcterms:W3CDTF">2021-10-13T15:17:00Z</dcterms:modified>
</cp:coreProperties>
</file>